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1435826" w:displacedByCustomXml="next"/>
    <w:bookmarkStart w:id="1" w:name="_Toc519523459" w:displacedByCustomXml="next"/>
    <w:sdt>
      <w:sdtPr>
        <w:rPr>
          <w:rFonts w:ascii="Calibri Light" w:eastAsia="Times New Roman" w:hAnsi="Calibri Light" w:cs="Times New Roman"/>
          <w:sz w:val="72"/>
          <w:szCs w:val="72"/>
        </w:rPr>
        <w:id w:val="208085004"/>
        <w:docPartObj>
          <w:docPartGallery w:val="Cover Pages"/>
          <w:docPartUnique/>
        </w:docPartObj>
      </w:sdtPr>
      <w:sdtEndPr>
        <w:rPr>
          <w:rFonts w:ascii="Calibri" w:eastAsia="Calibri" w:hAnsi="Calibri"/>
          <w:sz w:val="22"/>
          <w:szCs w:val="22"/>
        </w:rPr>
      </w:sdtEndPr>
      <w:sdtContent>
        <w:p w14:paraId="6103D79E" w14:textId="77777777" w:rsidR="008B76AD" w:rsidRPr="00575A7E" w:rsidRDefault="008B76AD" w:rsidP="003B1BE9">
          <w:pPr>
            <w:spacing w:after="0" w:line="276" w:lineRule="auto"/>
            <w:rPr>
              <w:rFonts w:ascii="Calibri Light" w:eastAsia="Times New Roman" w:hAnsi="Calibri Light" w:cs="Times New Roman"/>
              <w:sz w:val="72"/>
              <w:szCs w:val="72"/>
            </w:rPr>
          </w:pPr>
        </w:p>
        <w:p w14:paraId="6B73B8DD" w14:textId="77777777" w:rsidR="0065238F" w:rsidRPr="00575A7E" w:rsidRDefault="00CB2429" w:rsidP="003B1BE9">
          <w:pPr>
            <w:spacing w:after="0" w:line="276" w:lineRule="auto"/>
            <w:rPr>
              <w:rFonts w:ascii="Calibri Light" w:eastAsia="Times New Roman" w:hAnsi="Calibri Light" w:cs="Times New Roman"/>
              <w:sz w:val="72"/>
              <w:szCs w:val="72"/>
              <w:lang w:eastAsia="ja-JP"/>
            </w:rPr>
          </w:pPr>
          <w:r>
            <w:rPr>
              <w:rFonts w:ascii="Calibri" w:eastAsia="Times New Roman" w:hAnsi="Calibri" w:cs="Times New Roman"/>
              <w:noProof/>
              <w:lang w:eastAsia="el-GR"/>
            </w:rPr>
            <mc:AlternateContent>
              <mc:Choice Requires="wps">
                <w:drawing>
                  <wp:anchor distT="0" distB="0" distL="114300" distR="114300" simplePos="0" relativeHeight="251652608" behindDoc="0" locked="0" layoutInCell="0" allowOverlap="1" wp14:anchorId="2B5DEFD1" wp14:editId="4DC5DDB9">
                    <wp:simplePos x="0" y="0"/>
                    <wp:positionH relativeFrom="page">
                      <wp:posOffset>-66040</wp:posOffset>
                    </wp:positionH>
                    <wp:positionV relativeFrom="page">
                      <wp:posOffset>270510</wp:posOffset>
                    </wp:positionV>
                    <wp:extent cx="7920990" cy="802005"/>
                    <wp:effectExtent l="0" t="0" r="5715" b="0"/>
                    <wp:wrapNone/>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2005"/>
                            </a:xfrm>
                            <a:prstGeom prst="rect">
                              <a:avLst/>
                            </a:prstGeom>
                            <a:solidFill>
                              <a:schemeClr val="accent1">
                                <a:lumMod val="50000"/>
                              </a:schemeClr>
                            </a:solidFill>
                            <a:ln w="9525">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0CD3EC" id="Rectangle 3" o:spid="_x0000_s1026" style="position:absolute;margin-left:-5.2pt;margin-top:21.3pt;width:623.7pt;height:63.15pt;z-index:2516526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" o:allowincell="f" fillcolor="#1f3763 [1604]" strokecolor="#4472c4">
                    <w10:wrap anchorx="page" anchory="page"/>
                  </v:rect>
                </w:pict>
              </mc:Fallback>
            </mc:AlternateContent>
          </w:r>
        </w:p>
        <w:p w14:paraId="5187E8C6" w14:textId="77777777" w:rsidR="0065238F" w:rsidRPr="00575A7E" w:rsidRDefault="008B76AD" w:rsidP="003B1BE9">
          <w:pPr>
            <w:spacing w:line="276" w:lineRule="auto"/>
            <w:jc w:val="center"/>
            <w:rPr>
              <w:rFonts w:ascii="Calibri Light" w:eastAsia="Calibri" w:hAnsi="Calibri Light" w:cs="Times New Roman"/>
              <w:color w:val="595959"/>
            </w:rPr>
          </w:pPr>
          <w:r w:rsidRPr="00575A7E">
            <w:rPr>
              <w:rFonts w:ascii="Calibri Light" w:eastAsia="Calibri" w:hAnsi="Calibri Light" w:cs="Times New Roman"/>
              <w:noProof/>
              <w:color w:val="595959"/>
              <w:lang w:eastAsia="el-GR"/>
            </w:rPr>
            <w:drawing>
              <wp:inline distT="0" distB="0" distL="0" distR="0" wp14:anchorId="3AD7CFE9" wp14:editId="044FDEFC">
                <wp:extent cx="5274310" cy="1807355"/>
                <wp:effectExtent l="0" t="0" r="2540" b="2540"/>
                <wp:docPr id="14" name="Picture 14" descr="C:\Users\Franciscos\Dropbox\PBO\media\PBO_logo_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s\Dropbox\PBO\media\PBO_logo_graph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807355"/>
                        </a:xfrm>
                        <a:prstGeom prst="rect">
                          <a:avLst/>
                        </a:prstGeom>
                        <a:noFill/>
                        <a:ln>
                          <a:noFill/>
                        </a:ln>
                      </pic:spPr>
                    </pic:pic>
                  </a:graphicData>
                </a:graphic>
              </wp:inline>
            </w:drawing>
          </w:r>
        </w:p>
        <w:p w14:paraId="65F9E2BF" w14:textId="77777777" w:rsidR="004D6364" w:rsidRPr="00575A7E" w:rsidRDefault="004D6364" w:rsidP="003B1BE9">
          <w:pPr>
            <w:spacing w:after="0" w:line="276" w:lineRule="auto"/>
            <w:rPr>
              <w:rFonts w:ascii="Calibri Light" w:eastAsia="Times New Roman" w:hAnsi="Calibri Light" w:cs="Times New Roman"/>
              <w:color w:val="595959"/>
              <w:sz w:val="72"/>
              <w:szCs w:val="72"/>
              <w:lang w:eastAsia="ja-JP"/>
            </w:rPr>
          </w:pPr>
        </w:p>
        <w:p w14:paraId="3E7CAC07" w14:textId="77777777" w:rsidR="0065238F" w:rsidRPr="00575A7E" w:rsidRDefault="005C193D" w:rsidP="003B1BE9">
          <w:pPr>
            <w:spacing w:after="0" w:line="276" w:lineRule="auto"/>
            <w:jc w:val="center"/>
            <w:rPr>
              <w:rFonts w:eastAsia="Times New Roman" w:cs="Times New Roman"/>
              <w:b/>
              <w:color w:val="2F5496" w:themeColor="accent1" w:themeShade="BF"/>
              <w:sz w:val="72"/>
              <w:szCs w:val="72"/>
              <w:lang w:eastAsia="ja-JP"/>
            </w:rPr>
          </w:pPr>
          <w:r w:rsidRPr="00575A7E">
            <w:rPr>
              <w:rFonts w:eastAsia="Times New Roman" w:cs="Times New Roman"/>
              <w:b/>
              <w:color w:val="1F3864" w:themeColor="accent1" w:themeShade="80"/>
              <w:sz w:val="72"/>
              <w:szCs w:val="72"/>
              <w:lang w:eastAsia="ja-JP"/>
            </w:rPr>
            <w:t xml:space="preserve">ΕΚΘΕΣΗ </w:t>
          </w:r>
          <w:r w:rsidR="00154335" w:rsidRPr="00575A7E">
            <w:rPr>
              <w:rFonts w:eastAsia="Times New Roman" w:cs="Times New Roman"/>
              <w:b/>
              <w:color w:val="1F3864" w:themeColor="accent1" w:themeShade="80"/>
              <w:sz w:val="72"/>
              <w:szCs w:val="72"/>
              <w:lang w:eastAsia="ja-JP"/>
            </w:rPr>
            <w:t>Δ</w:t>
          </w:r>
          <w:r w:rsidR="006E215B" w:rsidRPr="00575A7E">
            <w:rPr>
              <w:rFonts w:eastAsia="Times New Roman" w:cs="Times New Roman"/>
              <w:b/>
              <w:color w:val="1F3864" w:themeColor="accent1" w:themeShade="80"/>
              <w:sz w:val="72"/>
              <w:szCs w:val="72"/>
              <w:lang w:eastAsia="ja-JP"/>
            </w:rPr>
            <w:t xml:space="preserve"> ΤΡΙΜΗΝΟΥ 2020</w:t>
          </w:r>
        </w:p>
        <w:p w14:paraId="4FE05EEF" w14:textId="77777777" w:rsidR="0065238F" w:rsidRPr="00575A7E" w:rsidRDefault="00CB2429" w:rsidP="003B1BE9">
          <w:pPr>
            <w:spacing w:after="0" w:line="276" w:lineRule="auto"/>
            <w:rPr>
              <w:rFonts w:ascii="Calibri Light" w:eastAsia="Times New Roman" w:hAnsi="Calibri Light" w:cs="Times New Roman"/>
              <w:sz w:val="72"/>
              <w:szCs w:val="72"/>
              <w:lang w:eastAsia="ja-JP"/>
            </w:rPr>
          </w:pPr>
          <w:r>
            <w:rPr>
              <w:rFonts w:ascii="Calibri" w:eastAsia="Times New Roman" w:hAnsi="Calibri" w:cs="Times New Roman"/>
              <w:noProof/>
              <w:lang w:eastAsia="el-GR"/>
            </w:rPr>
            <mc:AlternateContent>
              <mc:Choice Requires="wps">
                <w:drawing>
                  <wp:anchor distT="0" distB="0" distL="114300" distR="114300" simplePos="0" relativeHeight="251666944" behindDoc="0" locked="0" layoutInCell="0" allowOverlap="1" wp14:anchorId="072A2C03" wp14:editId="77E726FC">
                    <wp:simplePos x="0" y="0"/>
                    <wp:positionH relativeFrom="leftMargin">
                      <wp:align>center</wp:align>
                    </wp:positionH>
                    <wp:positionV relativeFrom="page">
                      <wp:align>center</wp:align>
                    </wp:positionV>
                    <wp:extent cx="90805" cy="11207115"/>
                    <wp:effectExtent l="0" t="0" r="4445" b="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chemeClr val="accent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9C71C9" id="Rectangle 5" o:spid="_x0000_s1026" style="position:absolute;margin-left:0;margin-top:0;width:7.15pt;height:882.45pt;z-index:2516669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" o:allowincell="f" strokecolor="#1f3763 [1604]">
                    <w10:wrap anchorx="margin" anchory="page"/>
                  </v:rect>
                </w:pict>
              </mc:Fallback>
            </mc:AlternateContent>
          </w:r>
          <w:r>
            <w:rPr>
              <w:rFonts w:ascii="Calibri" w:eastAsia="Times New Roman" w:hAnsi="Calibri" w:cs="Times New Roman"/>
              <w:noProof/>
              <w:lang w:eastAsia="el-GR"/>
            </w:rPr>
            <mc:AlternateContent>
              <mc:Choice Requires="wps">
                <w:drawing>
                  <wp:anchor distT="0" distB="0" distL="114300" distR="114300" simplePos="0" relativeHeight="251661824" behindDoc="0" locked="0" layoutInCell="0" allowOverlap="1" wp14:anchorId="79CF7EB7" wp14:editId="283D2559">
                    <wp:simplePos x="0" y="0"/>
                    <wp:positionH relativeFrom="rightMargin">
                      <wp:align>center</wp:align>
                    </wp:positionH>
                    <wp:positionV relativeFrom="page">
                      <wp:align>center</wp:align>
                    </wp:positionV>
                    <wp:extent cx="90805" cy="11207115"/>
                    <wp:effectExtent l="0" t="0" r="4445"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chemeClr val="accent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FFA77F" id="Rectangle 4" o:spid="_x0000_s1026" style="position:absolute;margin-left:0;margin-top:0;width:7.15pt;height:882.45pt;z-index:2516618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" o:allowincell="f" strokecolor="#1f3763 [1604]">
                    <w10:wrap anchorx="margin" anchory="page"/>
                  </v:rect>
                </w:pict>
              </mc:Fallback>
            </mc:AlternateContent>
          </w:r>
        </w:p>
        <w:p w14:paraId="6DA6E138" w14:textId="77777777" w:rsidR="0065238F" w:rsidRPr="00575A7E" w:rsidRDefault="0065238F" w:rsidP="003B1BE9">
          <w:pPr>
            <w:spacing w:line="276" w:lineRule="auto"/>
            <w:rPr>
              <w:rFonts w:ascii="Calibri Light" w:eastAsia="Calibri" w:hAnsi="Calibri Light" w:cs="Times New Roman"/>
              <w:color w:val="595959"/>
            </w:rPr>
          </w:pPr>
        </w:p>
        <w:p w14:paraId="361B1ED9" w14:textId="77777777" w:rsidR="0065238F" w:rsidRPr="00575A7E" w:rsidRDefault="0065238F" w:rsidP="003B1BE9">
          <w:pPr>
            <w:spacing w:after="0" w:line="276" w:lineRule="auto"/>
            <w:rPr>
              <w:rFonts w:ascii="Calibri Light" w:eastAsia="Times New Roman" w:hAnsi="Calibri Light" w:cs="Times New Roman"/>
              <w:color w:val="595959"/>
              <w:sz w:val="72"/>
              <w:szCs w:val="72"/>
              <w:lang w:eastAsia="ja-JP"/>
            </w:rPr>
          </w:pPr>
        </w:p>
        <w:p w14:paraId="497B4E43" w14:textId="77777777" w:rsidR="0065238F" w:rsidRPr="00575A7E" w:rsidRDefault="0065238F" w:rsidP="003B1BE9">
          <w:pPr>
            <w:spacing w:line="276" w:lineRule="auto"/>
            <w:rPr>
              <w:rFonts w:ascii="Calibri Light" w:eastAsia="Calibri" w:hAnsi="Calibri Light" w:cs="Times New Roman"/>
            </w:rPr>
          </w:pPr>
        </w:p>
        <w:p w14:paraId="1A763B9B" w14:textId="77777777" w:rsidR="0065238F" w:rsidRPr="00575A7E" w:rsidRDefault="0065238F" w:rsidP="003B1BE9">
          <w:pPr>
            <w:spacing w:line="276" w:lineRule="auto"/>
            <w:rPr>
              <w:rFonts w:ascii="Calibri Light" w:eastAsia="Calibri" w:hAnsi="Calibri Light" w:cs="Times New Roman"/>
            </w:rPr>
          </w:pPr>
        </w:p>
        <w:p w14:paraId="44D965ED" w14:textId="77777777" w:rsidR="0065238F" w:rsidRPr="00575A7E" w:rsidRDefault="0065238F" w:rsidP="003B1BE9">
          <w:pPr>
            <w:spacing w:line="276" w:lineRule="auto"/>
            <w:jc w:val="center"/>
            <w:rPr>
              <w:rFonts w:ascii="Calibri Light" w:eastAsia="Calibri" w:hAnsi="Calibri Light" w:cs="Times New Roman"/>
            </w:rPr>
          </w:pPr>
        </w:p>
        <w:p w14:paraId="63280CE9" w14:textId="77777777" w:rsidR="0065238F" w:rsidRPr="00575A7E" w:rsidRDefault="0065238F" w:rsidP="003B1BE9">
          <w:pPr>
            <w:spacing w:line="276" w:lineRule="auto"/>
            <w:rPr>
              <w:rFonts w:ascii="Calibri Light" w:eastAsia="Calibri" w:hAnsi="Calibri Light" w:cs="Times New Roman"/>
            </w:rPr>
          </w:pPr>
        </w:p>
        <w:p w14:paraId="1284425B" w14:textId="77777777" w:rsidR="0065238F" w:rsidRPr="00575A7E" w:rsidRDefault="0065238F" w:rsidP="003B1BE9">
          <w:pPr>
            <w:spacing w:line="276" w:lineRule="auto"/>
            <w:rPr>
              <w:rFonts w:ascii="Calibri Light" w:eastAsia="Calibri" w:hAnsi="Calibri Light" w:cs="Times New Roman"/>
            </w:rPr>
          </w:pPr>
        </w:p>
        <w:p w14:paraId="76F24C43" w14:textId="77777777" w:rsidR="0065238F" w:rsidRPr="00575A7E" w:rsidRDefault="0065238F" w:rsidP="003B1BE9">
          <w:pPr>
            <w:spacing w:line="276" w:lineRule="auto"/>
            <w:rPr>
              <w:rFonts w:ascii="Calibri Light" w:eastAsia="Calibri" w:hAnsi="Calibri Light" w:cs="Times New Roman"/>
            </w:rPr>
          </w:pPr>
        </w:p>
        <w:p w14:paraId="486490D0" w14:textId="77777777" w:rsidR="0065238F" w:rsidRPr="00575A7E" w:rsidRDefault="0065238F" w:rsidP="003B1BE9">
          <w:pPr>
            <w:spacing w:line="276" w:lineRule="auto"/>
            <w:rPr>
              <w:rFonts w:ascii="Calibri Light" w:eastAsia="Calibri" w:hAnsi="Calibri Light" w:cs="Times New Roman"/>
            </w:rPr>
          </w:pPr>
        </w:p>
        <w:p w14:paraId="551459BF" w14:textId="720E0C23" w:rsidR="0065238F" w:rsidRPr="00575A7E" w:rsidRDefault="00427B6D" w:rsidP="003B1BE9">
          <w:pPr>
            <w:spacing w:line="276" w:lineRule="auto"/>
            <w:jc w:val="center"/>
            <w:rPr>
              <w:rFonts w:eastAsia="Calibri" w:cs="Times New Roman"/>
              <w:b/>
              <w:color w:val="1F3864" w:themeColor="accent1" w:themeShade="80"/>
              <w:sz w:val="28"/>
              <w:szCs w:val="28"/>
            </w:rPr>
          </w:pPr>
          <w:r w:rsidRPr="00575A7E">
            <w:rPr>
              <w:rFonts w:eastAsia="Calibri" w:cs="Times New Roman"/>
              <w:b/>
              <w:color w:val="1F3864" w:themeColor="accent1" w:themeShade="80"/>
              <w:sz w:val="28"/>
              <w:szCs w:val="28"/>
            </w:rPr>
            <w:t xml:space="preserve">ΑΘΗΝΑ, </w:t>
          </w:r>
          <w:r w:rsidR="00154335" w:rsidRPr="00575A7E">
            <w:rPr>
              <w:rFonts w:eastAsia="Calibri" w:cs="Times New Roman"/>
              <w:b/>
              <w:color w:val="1F3864" w:themeColor="accent1" w:themeShade="80"/>
              <w:sz w:val="28"/>
              <w:szCs w:val="28"/>
            </w:rPr>
            <w:t>Μάρτιος</w:t>
          </w:r>
          <w:r w:rsidR="001B43DE" w:rsidRPr="00575A7E">
            <w:rPr>
              <w:rFonts w:eastAsia="Calibri" w:cs="Times New Roman"/>
              <w:b/>
              <w:color w:val="1F3864" w:themeColor="accent1" w:themeShade="80"/>
              <w:sz w:val="28"/>
              <w:szCs w:val="28"/>
            </w:rPr>
            <w:t xml:space="preserve"> 202</w:t>
          </w:r>
          <w:r w:rsidR="00154335" w:rsidRPr="00575A7E">
            <w:rPr>
              <w:rFonts w:eastAsia="Calibri" w:cs="Times New Roman"/>
              <w:b/>
              <w:color w:val="1F3864" w:themeColor="accent1" w:themeShade="80"/>
              <w:sz w:val="28"/>
              <w:szCs w:val="28"/>
            </w:rPr>
            <w:t>1</w:t>
          </w:r>
        </w:p>
        <w:p w14:paraId="08C3DA98" w14:textId="1FF481AB" w:rsidR="008B76AD" w:rsidRPr="00575A7E" w:rsidRDefault="00A16ACE" w:rsidP="003B1BE9">
          <w:pPr>
            <w:spacing w:line="276" w:lineRule="auto"/>
            <w:jc w:val="center"/>
            <w:rPr>
              <w:rFonts w:eastAsia="Calibri" w:cs="Times New Roman"/>
              <w:b/>
              <w:color w:val="1F3864" w:themeColor="accent1" w:themeShade="80"/>
              <w:sz w:val="28"/>
              <w:szCs w:val="28"/>
            </w:rPr>
          </w:pPr>
          <w:r>
            <w:rPr>
              <w:rFonts w:ascii="Calibri" w:eastAsia="Times New Roman" w:hAnsi="Calibri" w:cs="Times New Roman"/>
              <w:noProof/>
              <w:lang w:eastAsia="el-GR"/>
            </w:rPr>
            <mc:AlternateContent>
              <mc:Choice Requires="wps">
                <w:drawing>
                  <wp:anchor distT="0" distB="0" distL="114300" distR="114300" simplePos="0" relativeHeight="251656704" behindDoc="0" locked="0" layoutInCell="0" allowOverlap="1" wp14:anchorId="4CCE8C57" wp14:editId="6289B801">
                    <wp:simplePos x="0" y="0"/>
                    <wp:positionH relativeFrom="page">
                      <wp:align>right</wp:align>
                    </wp:positionH>
                    <wp:positionV relativeFrom="bottomMargin">
                      <wp:align>top</wp:align>
                    </wp:positionV>
                    <wp:extent cx="7917180" cy="802640"/>
                    <wp:effectExtent l="0" t="0" r="24765" b="1524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802640"/>
                            </a:xfrm>
                            <a:prstGeom prst="rect">
                              <a:avLst/>
                            </a:prstGeom>
                            <a:solidFill>
                              <a:schemeClr val="accent1">
                                <a:lumMod val="50000"/>
                              </a:schemeClr>
                            </a:solidFill>
                            <a:ln w="9525">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5ADBD57" id="Rectangle 2" o:spid="_x0000_s1026" style="position:absolute;margin-left:572.2pt;margin-top:0;width:623.4pt;height:63.2pt;z-index:251656704;visibility:visible;mso-wrap-style:square;mso-width-percent:1050;mso-height-percent:900;mso-wrap-distance-left:9pt;mso-wrap-distance-top:0;mso-wrap-distance-right:9pt;mso-wrap-distance-bottom:0;mso-position-horizontal:right;mso-position-horizontal-relative:page;mso-position-vertical:top;mso-position-vertical-relative:bottom-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" o:allowincell="f" fillcolor="#1f3763 [1604]" strokecolor="#4472c4">
                    <w10:wrap anchorx="page" anchory="margin"/>
                  </v:rect>
                </w:pict>
              </mc:Fallback>
            </mc:AlternateContent>
          </w:r>
          <w:hyperlink r:id="rId10" w:history="1">
            <w:r w:rsidR="008B76AD" w:rsidRPr="00575A7E">
              <w:rPr>
                <w:rStyle w:val="-"/>
                <w:rFonts w:eastAsia="Calibri" w:cs="Times New Roman"/>
                <w:b/>
                <w:color w:val="1F3864" w:themeColor="accent1" w:themeShade="80"/>
                <w:sz w:val="28"/>
                <w:szCs w:val="28"/>
                <w:lang w:val="en-US"/>
              </w:rPr>
              <w:t>www</w:t>
            </w:r>
            <w:r w:rsidR="008B76AD" w:rsidRPr="00575A7E">
              <w:rPr>
                <w:rStyle w:val="-"/>
                <w:rFonts w:eastAsia="Calibri" w:cs="Times New Roman"/>
                <w:b/>
                <w:color w:val="1F3864" w:themeColor="accent1" w:themeShade="80"/>
                <w:sz w:val="28"/>
                <w:szCs w:val="28"/>
              </w:rPr>
              <w:t>.</w:t>
            </w:r>
            <w:proofErr w:type="spellStart"/>
            <w:r w:rsidR="008B76AD" w:rsidRPr="00575A7E">
              <w:rPr>
                <w:rStyle w:val="-"/>
                <w:rFonts w:eastAsia="Calibri" w:cs="Times New Roman"/>
                <w:b/>
                <w:color w:val="1F3864" w:themeColor="accent1" w:themeShade="80"/>
                <w:sz w:val="28"/>
                <w:szCs w:val="28"/>
                <w:lang w:val="en-US"/>
              </w:rPr>
              <w:t>pbo</w:t>
            </w:r>
            <w:proofErr w:type="spellEnd"/>
            <w:r w:rsidR="008B76AD" w:rsidRPr="00575A7E">
              <w:rPr>
                <w:rStyle w:val="-"/>
                <w:rFonts w:eastAsia="Calibri" w:cs="Times New Roman"/>
                <w:b/>
                <w:color w:val="1F3864" w:themeColor="accent1" w:themeShade="80"/>
                <w:sz w:val="28"/>
                <w:szCs w:val="28"/>
              </w:rPr>
              <w:t>.</w:t>
            </w:r>
            <w:r w:rsidR="008B76AD" w:rsidRPr="00575A7E">
              <w:rPr>
                <w:rStyle w:val="-"/>
                <w:rFonts w:eastAsia="Calibri" w:cs="Times New Roman"/>
                <w:b/>
                <w:color w:val="1F3864" w:themeColor="accent1" w:themeShade="80"/>
                <w:sz w:val="28"/>
                <w:szCs w:val="28"/>
                <w:lang w:val="en-US"/>
              </w:rPr>
              <w:t>gr</w:t>
            </w:r>
          </w:hyperlink>
        </w:p>
        <w:p w14:paraId="5CA5A367" w14:textId="302225D1" w:rsidR="0065238F" w:rsidRPr="00575A7E" w:rsidRDefault="0065238F" w:rsidP="003B1BE9">
          <w:pPr>
            <w:spacing w:line="276" w:lineRule="auto"/>
            <w:rPr>
              <w:rFonts w:ascii="Calibri Light" w:eastAsia="Calibri" w:hAnsi="Calibri Light" w:cs="Times New Roman"/>
              <w:b/>
              <w:color w:val="595959"/>
            </w:rPr>
          </w:pPr>
        </w:p>
        <w:p w14:paraId="597A8A5F" w14:textId="2061F7B6" w:rsidR="0065238F" w:rsidRPr="00575A7E" w:rsidRDefault="00AE505C" w:rsidP="003B1BE9">
          <w:pPr>
            <w:spacing w:line="276" w:lineRule="auto"/>
            <w:rPr>
              <w:rFonts w:ascii="Calibri" w:eastAsia="Calibri" w:hAnsi="Calibri" w:cs="Times New Roman"/>
            </w:rPr>
          </w:pPr>
        </w:p>
      </w:sdtContent>
    </w:sdt>
    <w:p w14:paraId="4D1B4430" w14:textId="4366F03C" w:rsidR="000A3E6D" w:rsidRPr="00575A7E" w:rsidRDefault="000A3E6D" w:rsidP="003B1BE9">
      <w:pPr>
        <w:spacing w:line="276" w:lineRule="auto"/>
        <w:rPr>
          <w:color w:val="2F5496" w:themeColor="accent1" w:themeShade="BF"/>
          <w:sz w:val="28"/>
          <w:szCs w:val="28"/>
        </w:rPr>
      </w:pPr>
      <w:bookmarkStart w:id="2" w:name="_Toc521435823"/>
    </w:p>
    <w:p w14:paraId="2A13D1EF" w14:textId="03480A2F" w:rsidR="00A16ACE" w:rsidRDefault="00A16ACE" w:rsidP="003B1BE9">
      <w:pPr>
        <w:spacing w:line="276" w:lineRule="auto"/>
        <w:rPr>
          <w:color w:val="2F5496" w:themeColor="accent1" w:themeShade="BF"/>
          <w:sz w:val="28"/>
          <w:szCs w:val="28"/>
        </w:rPr>
      </w:pPr>
    </w:p>
    <w:p w14:paraId="22A7DBE2" w14:textId="77777777" w:rsidR="00A16ACE" w:rsidRPr="00A16ACE" w:rsidRDefault="00A16ACE" w:rsidP="00A16ACE">
      <w:pPr>
        <w:rPr>
          <w:sz w:val="28"/>
          <w:szCs w:val="28"/>
        </w:rPr>
      </w:pPr>
    </w:p>
    <w:p w14:paraId="6D862E7E" w14:textId="77777777" w:rsidR="00A16ACE" w:rsidRPr="00A16ACE" w:rsidRDefault="00A16ACE" w:rsidP="00A16ACE">
      <w:pPr>
        <w:rPr>
          <w:sz w:val="28"/>
          <w:szCs w:val="28"/>
        </w:rPr>
      </w:pPr>
    </w:p>
    <w:p w14:paraId="1101890E" w14:textId="77777777" w:rsidR="00A16ACE" w:rsidRPr="00A16ACE" w:rsidRDefault="00A16ACE" w:rsidP="00A16ACE">
      <w:pPr>
        <w:rPr>
          <w:sz w:val="28"/>
          <w:szCs w:val="28"/>
        </w:rPr>
      </w:pPr>
    </w:p>
    <w:p w14:paraId="58A20AC3" w14:textId="77777777" w:rsidR="00A16ACE" w:rsidRPr="00A16ACE" w:rsidRDefault="00A16ACE" w:rsidP="00A16ACE">
      <w:pPr>
        <w:rPr>
          <w:sz w:val="28"/>
          <w:szCs w:val="28"/>
        </w:rPr>
      </w:pPr>
    </w:p>
    <w:p w14:paraId="7DBB5EF9" w14:textId="5B83CAEF" w:rsidR="00A16ACE" w:rsidRDefault="00A16ACE" w:rsidP="00A16ACE">
      <w:pPr>
        <w:rPr>
          <w:sz w:val="28"/>
          <w:szCs w:val="28"/>
        </w:rPr>
      </w:pPr>
    </w:p>
    <w:p w14:paraId="6A0D1979" w14:textId="5CA50F4C" w:rsidR="00A16ACE" w:rsidRDefault="00A16ACE" w:rsidP="00A16ACE">
      <w:pPr>
        <w:tabs>
          <w:tab w:val="center" w:pos="4153"/>
        </w:tabs>
        <w:rPr>
          <w:sz w:val="28"/>
          <w:szCs w:val="28"/>
        </w:rPr>
      </w:pPr>
      <w:r>
        <w:rPr>
          <w:sz w:val="28"/>
          <w:szCs w:val="28"/>
        </w:rPr>
        <w:tab/>
      </w:r>
      <w:r>
        <w:rPr>
          <w:sz w:val="28"/>
          <w:szCs w:val="28"/>
        </w:rPr>
        <w:br w:type="page"/>
      </w:r>
    </w:p>
    <w:p w14:paraId="4348B458" w14:textId="77777777" w:rsidR="000A3E6D" w:rsidRPr="00A16ACE" w:rsidRDefault="000A3E6D" w:rsidP="00A16ACE">
      <w:pPr>
        <w:tabs>
          <w:tab w:val="center" w:pos="4153"/>
        </w:tabs>
        <w:rPr>
          <w:sz w:val="28"/>
          <w:szCs w:val="28"/>
        </w:rPr>
        <w:sectPr w:rsidR="000A3E6D" w:rsidRPr="00A16ACE" w:rsidSect="000A3E6D">
          <w:headerReference w:type="even" r:id="rId11"/>
          <w:headerReference w:type="default" r:id="rId12"/>
          <w:footerReference w:type="even" r:id="rId13"/>
          <w:footerReference w:type="default" r:id="rId14"/>
          <w:pgSz w:w="11906" w:h="16838"/>
          <w:pgMar w:top="1440" w:right="1800" w:bottom="1440" w:left="1800" w:header="708" w:footer="708" w:gutter="0"/>
          <w:pgNumType w:start="0"/>
          <w:cols w:space="708"/>
          <w:titlePg/>
          <w:docGrid w:linePitch="360"/>
        </w:sectPr>
      </w:pPr>
    </w:p>
    <w:p w14:paraId="55699843" w14:textId="77777777" w:rsidR="00DF16C7" w:rsidRPr="00575A7E" w:rsidRDefault="000A3E6D" w:rsidP="003B1BE9">
      <w:pPr>
        <w:spacing w:line="276" w:lineRule="auto"/>
        <w:jc w:val="both"/>
        <w:rPr>
          <w:color w:val="2F5496" w:themeColor="accent1" w:themeShade="BF"/>
          <w:sz w:val="28"/>
          <w:szCs w:val="28"/>
        </w:rPr>
      </w:pPr>
      <w:r w:rsidRPr="00575A7E">
        <w:rPr>
          <w:color w:val="2F5496" w:themeColor="accent1" w:themeShade="BF"/>
          <w:sz w:val="28"/>
          <w:szCs w:val="28"/>
        </w:rPr>
        <w:br w:type="page"/>
      </w:r>
      <w:r w:rsidR="0065238F" w:rsidRPr="00575A7E">
        <w:rPr>
          <w:color w:val="2F5496" w:themeColor="accent1" w:themeShade="BF"/>
          <w:sz w:val="28"/>
          <w:szCs w:val="28"/>
        </w:rPr>
        <w:t>Πρόλογος</w:t>
      </w:r>
      <w:bookmarkEnd w:id="2"/>
    </w:p>
    <w:p w14:paraId="4F032565" w14:textId="77777777" w:rsidR="00DF16C7" w:rsidRPr="00575A7E" w:rsidRDefault="00DF16C7" w:rsidP="003B1BE9">
      <w:pPr>
        <w:spacing w:after="0" w:line="276" w:lineRule="auto"/>
        <w:rPr>
          <w:rFonts w:ascii="Calibri" w:eastAsia="Calibri" w:hAnsi="Calibri"/>
          <w:color w:val="595959"/>
        </w:rPr>
      </w:pPr>
    </w:p>
    <w:p w14:paraId="46BE727A" w14:textId="77777777" w:rsidR="0065238F" w:rsidRPr="00575A7E" w:rsidRDefault="0065238F"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 xml:space="preserve">Η παρούσα έκθεση του Γραφείου Προϋπολογισμού του Κράτους στη Βουλή αφορά το </w:t>
      </w:r>
      <w:r w:rsidR="00154335" w:rsidRPr="00575A7E">
        <w:rPr>
          <w:rFonts w:ascii="Calibri" w:eastAsia="Calibri" w:hAnsi="Calibri" w:cs="Times New Roman"/>
          <w:color w:val="595959" w:themeColor="text1" w:themeTint="A6"/>
        </w:rPr>
        <w:t>τέταρτο</w:t>
      </w:r>
      <w:r w:rsidR="009F2C96" w:rsidRPr="00575A7E">
        <w:rPr>
          <w:rFonts w:ascii="Calibri" w:eastAsia="Calibri" w:hAnsi="Calibri" w:cs="Times New Roman"/>
          <w:color w:val="595959" w:themeColor="text1" w:themeTint="A6"/>
        </w:rPr>
        <w:t xml:space="preserve"> </w:t>
      </w:r>
      <w:r w:rsidR="006E215B" w:rsidRPr="00575A7E">
        <w:rPr>
          <w:rFonts w:ascii="Calibri" w:eastAsia="Calibri" w:hAnsi="Calibri" w:cs="Times New Roman"/>
          <w:color w:val="595959" w:themeColor="text1" w:themeTint="A6"/>
        </w:rPr>
        <w:t>τρίμηνο του 2020</w:t>
      </w:r>
      <w:r w:rsidRPr="00575A7E">
        <w:rPr>
          <w:rFonts w:ascii="Calibri" w:eastAsia="Calibri" w:hAnsi="Calibri" w:cs="Times New Roman"/>
          <w:color w:val="595959" w:themeColor="text1" w:themeTint="A6"/>
        </w:rPr>
        <w:t xml:space="preserve">. </w:t>
      </w:r>
      <w:r w:rsidR="00236714" w:rsidRPr="00575A7E">
        <w:rPr>
          <w:rFonts w:ascii="Calibri" w:eastAsia="Calibri" w:hAnsi="Calibri" w:cs="Times New Roman"/>
          <w:color w:val="595959" w:themeColor="text1" w:themeTint="A6"/>
        </w:rPr>
        <w:t>Για τη σύνταξη</w:t>
      </w:r>
      <w:r w:rsidRPr="00575A7E">
        <w:rPr>
          <w:rFonts w:ascii="Calibri" w:eastAsia="Calibri" w:hAnsi="Calibri" w:cs="Times New Roman"/>
          <w:color w:val="595959" w:themeColor="text1" w:themeTint="A6"/>
        </w:rPr>
        <w:t xml:space="preserve"> της </w:t>
      </w:r>
      <w:r w:rsidR="00236714" w:rsidRPr="00575A7E">
        <w:rPr>
          <w:rFonts w:ascii="Calibri" w:eastAsia="Calibri" w:hAnsi="Calibri" w:cs="Times New Roman"/>
          <w:color w:val="595959" w:themeColor="text1" w:themeTint="A6"/>
        </w:rPr>
        <w:t xml:space="preserve">έκθεσης </w:t>
      </w:r>
      <w:r w:rsidRPr="00575A7E">
        <w:rPr>
          <w:rFonts w:ascii="Calibri" w:eastAsia="Calibri" w:hAnsi="Calibri" w:cs="Times New Roman"/>
          <w:color w:val="595959" w:themeColor="text1" w:themeTint="A6"/>
        </w:rPr>
        <w:t>χρησιμοποιήθηκαν επίσημα δημοσιευμένα στοιχεία στα οποία μπορεί να μεταβεί κανείς μέσω των ηλεκτρονικών συνδέσμων στις υπογραμμισμένες λέξεις του κειμένου</w:t>
      </w:r>
      <w:r w:rsidR="00AE7C6C" w:rsidRPr="00575A7E">
        <w:rPr>
          <w:rFonts w:ascii="Calibri" w:eastAsia="Calibri" w:hAnsi="Calibri" w:cs="Times New Roman"/>
          <w:color w:val="595959" w:themeColor="text1" w:themeTint="A6"/>
        </w:rPr>
        <w:t>,</w:t>
      </w:r>
      <w:r w:rsidRPr="00575A7E">
        <w:rPr>
          <w:rFonts w:ascii="Calibri" w:eastAsia="Calibri" w:hAnsi="Calibri" w:cs="Times New Roman"/>
          <w:color w:val="595959" w:themeColor="text1" w:themeTint="A6"/>
        </w:rPr>
        <w:t xml:space="preserve"> αλλά και μη δημοσιευμένα στοιχεία που παρασχέθηκαν από τις αρμόδιες υπηρεσίες. </w:t>
      </w:r>
    </w:p>
    <w:p w14:paraId="133A838C" w14:textId="77777777" w:rsidR="0065238F" w:rsidRPr="00575A7E" w:rsidRDefault="006237A4"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Ευχαριστούμε το Υπουργείο Οικονομικών (ιδιαίτερα το ΓΛΚ και τον ΟΔΔΗΧ)</w:t>
      </w:r>
      <w:r w:rsidR="001C4048" w:rsidRPr="00575A7E">
        <w:rPr>
          <w:rFonts w:ascii="Calibri" w:eastAsia="Calibri" w:hAnsi="Calibri" w:cs="Times New Roman"/>
          <w:color w:val="595959" w:themeColor="text1" w:themeTint="A6"/>
        </w:rPr>
        <w:t>, το Υπουργείο Εργασίας</w:t>
      </w:r>
      <w:r w:rsidR="007E1D86" w:rsidRPr="00575A7E">
        <w:rPr>
          <w:rFonts w:ascii="Calibri" w:eastAsia="Calibri" w:hAnsi="Calibri" w:cs="Times New Roman"/>
          <w:color w:val="595959" w:themeColor="text1" w:themeTint="A6"/>
        </w:rPr>
        <w:t xml:space="preserve"> </w:t>
      </w:r>
      <w:r w:rsidR="00092A1E" w:rsidRPr="00575A7E">
        <w:rPr>
          <w:rFonts w:ascii="Calibri" w:eastAsia="Calibri" w:hAnsi="Calibri" w:cs="Times New Roman"/>
          <w:color w:val="595959" w:themeColor="text1" w:themeTint="A6"/>
        </w:rPr>
        <w:t xml:space="preserve">(ιδιαίτερα τις οικονομικές υπηρεσίες, </w:t>
      </w:r>
      <w:r w:rsidR="00DC0B72" w:rsidRPr="00575A7E">
        <w:rPr>
          <w:rFonts w:ascii="Calibri" w:eastAsia="Calibri" w:hAnsi="Calibri" w:cs="Times New Roman"/>
          <w:color w:val="595959" w:themeColor="text1" w:themeTint="A6"/>
        </w:rPr>
        <w:t xml:space="preserve">τον ΕΦΚΑ, </w:t>
      </w:r>
      <w:r w:rsidR="00092A1E" w:rsidRPr="00575A7E">
        <w:rPr>
          <w:rFonts w:ascii="Calibri" w:eastAsia="Calibri" w:hAnsi="Calibri" w:cs="Times New Roman"/>
          <w:color w:val="595959" w:themeColor="text1" w:themeTint="A6"/>
        </w:rPr>
        <w:t xml:space="preserve">το ΚΕΑΟ και τον ΟΠΕΚΑ) </w:t>
      </w:r>
      <w:r w:rsidRPr="00575A7E">
        <w:rPr>
          <w:rFonts w:ascii="Calibri" w:eastAsia="Calibri" w:hAnsi="Calibri" w:cs="Times New Roman"/>
          <w:color w:val="595959" w:themeColor="text1" w:themeTint="A6"/>
        </w:rPr>
        <w:t>και την ΑΑΔΕ για την παροχή πρόσθετων στοιχείων και διευκρινίσεων.</w:t>
      </w:r>
      <w:r w:rsidR="001D2DDA" w:rsidRPr="00575A7E">
        <w:rPr>
          <w:rFonts w:ascii="Calibri" w:eastAsia="Calibri" w:hAnsi="Calibri" w:cs="Times New Roman"/>
          <w:color w:val="595959" w:themeColor="text1" w:themeTint="A6"/>
        </w:rPr>
        <w:t xml:space="preserve"> </w:t>
      </w:r>
      <w:r w:rsidRPr="00575A7E">
        <w:rPr>
          <w:rFonts w:ascii="Calibri" w:eastAsia="Calibri" w:hAnsi="Calibri" w:cs="Times New Roman"/>
          <w:color w:val="595959" w:themeColor="text1" w:themeTint="A6"/>
        </w:rPr>
        <w:t>Ενδεχόμενα λάθη και παραλείψεις είναι αποκλειστική ευθύνη του Γραφείου Προϋπολογισμού του Κράτους στη Βουλή.</w:t>
      </w:r>
    </w:p>
    <w:p w14:paraId="46D54170" w14:textId="77777777" w:rsidR="0065238F" w:rsidRPr="00575A7E" w:rsidRDefault="0065238F" w:rsidP="003B1BE9">
      <w:pPr>
        <w:spacing w:line="276" w:lineRule="auto"/>
        <w:jc w:val="both"/>
        <w:rPr>
          <w:rFonts w:ascii="Calibri" w:eastAsia="Calibri" w:hAnsi="Calibri" w:cs="Times New Roman"/>
          <w:color w:val="595959" w:themeColor="text1" w:themeTint="A6"/>
        </w:rPr>
      </w:pPr>
    </w:p>
    <w:p w14:paraId="7E3C4CA3" w14:textId="77777777" w:rsidR="001C4048" w:rsidRPr="00575A7E" w:rsidRDefault="001C4048" w:rsidP="003B1BE9">
      <w:pPr>
        <w:spacing w:line="276" w:lineRule="auto"/>
        <w:jc w:val="both"/>
        <w:rPr>
          <w:rFonts w:ascii="Calibri" w:eastAsia="Calibri" w:hAnsi="Calibri" w:cs="Times New Roman"/>
          <w:color w:val="595959" w:themeColor="text1" w:themeTint="A6"/>
        </w:rPr>
      </w:pPr>
    </w:p>
    <w:p w14:paraId="6A54F915"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Η Επιστημονική Επιτροπή:</w:t>
      </w:r>
    </w:p>
    <w:p w14:paraId="58E47BCF"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Άγγελος Κανάς</w:t>
      </w:r>
    </w:p>
    <w:p w14:paraId="506EA497"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Παναγιώτης Κωνσταντίνου</w:t>
      </w:r>
    </w:p>
    <w:p w14:paraId="3FAD2061"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 xml:space="preserve">Ναπολέων </w:t>
      </w:r>
      <w:proofErr w:type="spellStart"/>
      <w:r w:rsidRPr="00575A7E">
        <w:rPr>
          <w:rFonts w:ascii="Calibri" w:eastAsia="Calibri" w:hAnsi="Calibri" w:cs="Times New Roman"/>
          <w:color w:val="595959" w:themeColor="text1" w:themeTint="A6"/>
        </w:rPr>
        <w:t>Μαραβέγιας</w:t>
      </w:r>
      <w:proofErr w:type="spellEnd"/>
    </w:p>
    <w:p w14:paraId="6FBFF5D0"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Αθανάσιος Ταγκαλάκης</w:t>
      </w:r>
    </w:p>
    <w:p w14:paraId="32461ED4" w14:textId="77777777" w:rsidR="00DF16C7" w:rsidRPr="00575A7E" w:rsidRDefault="00DF16C7" w:rsidP="003B1BE9">
      <w:pPr>
        <w:spacing w:after="0" w:line="276" w:lineRule="auto"/>
        <w:ind w:left="5529"/>
        <w:jc w:val="center"/>
        <w:rPr>
          <w:rFonts w:ascii="Calibri" w:eastAsia="Calibri" w:hAnsi="Calibri" w:cs="Times New Roman"/>
          <w:color w:val="595959" w:themeColor="text1" w:themeTint="A6"/>
        </w:rPr>
      </w:pPr>
    </w:p>
    <w:p w14:paraId="47198501"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Ο Συντονιστής:</w:t>
      </w:r>
    </w:p>
    <w:p w14:paraId="391056F9" w14:textId="77777777" w:rsidR="00DF16C7" w:rsidRPr="00575A7E" w:rsidRDefault="0065238F" w:rsidP="003B1BE9">
      <w:pPr>
        <w:spacing w:line="276" w:lineRule="auto"/>
        <w:ind w:left="5529"/>
        <w:jc w:val="center"/>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Φραγκίσκος Κουτεντάκης</w:t>
      </w:r>
    </w:p>
    <w:p w14:paraId="42E55F9B" w14:textId="77777777" w:rsidR="00FE5EE1" w:rsidRPr="00575A7E" w:rsidRDefault="0065238F" w:rsidP="003B1BE9">
      <w:pPr>
        <w:spacing w:line="276" w:lineRule="auto"/>
        <w:rPr>
          <w:rFonts w:ascii="Calibri" w:eastAsia="Calibri" w:hAnsi="Calibri" w:cs="Times New Roman"/>
          <w:b/>
          <w:color w:val="595959"/>
        </w:rPr>
      </w:pPr>
      <w:r w:rsidRPr="00575A7E">
        <w:rPr>
          <w:rFonts w:ascii="Calibri" w:eastAsia="Calibri" w:hAnsi="Calibri" w:cs="Times New Roman"/>
          <w:b/>
          <w:color w:val="595959"/>
        </w:rPr>
        <w:br w:type="page"/>
      </w:r>
    </w:p>
    <w:p w14:paraId="74918C48" w14:textId="77777777" w:rsidR="00FE5EE1" w:rsidRPr="00575A7E" w:rsidRDefault="00FE5EE1" w:rsidP="003B1BE9">
      <w:pPr>
        <w:spacing w:line="276" w:lineRule="auto"/>
        <w:rPr>
          <w:rFonts w:ascii="Calibri" w:eastAsia="Calibri" w:hAnsi="Calibri" w:cs="Times New Roman"/>
          <w:b/>
          <w:color w:val="595959"/>
        </w:rPr>
      </w:pPr>
    </w:p>
    <w:p w14:paraId="0EBF913B" w14:textId="77777777" w:rsidR="00FE5EE1" w:rsidRPr="00575A7E" w:rsidRDefault="00FE5EE1" w:rsidP="003B1BE9">
      <w:pPr>
        <w:spacing w:line="276" w:lineRule="auto"/>
        <w:rPr>
          <w:rFonts w:ascii="Calibri" w:eastAsia="Calibri" w:hAnsi="Calibri" w:cs="Times New Roman"/>
          <w:b/>
          <w:color w:val="595959"/>
        </w:rPr>
      </w:pPr>
    </w:p>
    <w:p w14:paraId="66334DA3" w14:textId="77777777" w:rsidR="00FE5EE1" w:rsidRPr="00575A7E" w:rsidRDefault="00FE5EE1" w:rsidP="003B1BE9">
      <w:pPr>
        <w:spacing w:line="276" w:lineRule="auto"/>
        <w:rPr>
          <w:rFonts w:ascii="Calibri" w:eastAsia="Calibri" w:hAnsi="Calibri" w:cs="Times New Roman"/>
          <w:b/>
          <w:color w:val="595959"/>
        </w:rPr>
      </w:pPr>
    </w:p>
    <w:p w14:paraId="593651D0" w14:textId="77777777" w:rsidR="00FE5EE1" w:rsidRPr="00575A7E" w:rsidRDefault="00FE5EE1" w:rsidP="003B1BE9">
      <w:pPr>
        <w:spacing w:line="276" w:lineRule="auto"/>
        <w:rPr>
          <w:rFonts w:ascii="Calibri" w:eastAsia="Calibri" w:hAnsi="Calibri" w:cs="Times New Roman"/>
          <w:b/>
          <w:color w:val="595959"/>
        </w:rPr>
      </w:pPr>
    </w:p>
    <w:p w14:paraId="13ED6C1C" w14:textId="77777777" w:rsidR="00FE5EE1" w:rsidRPr="00575A7E" w:rsidRDefault="00FE5EE1" w:rsidP="003B1BE9">
      <w:pPr>
        <w:spacing w:line="276" w:lineRule="auto"/>
        <w:rPr>
          <w:rFonts w:ascii="Calibri" w:eastAsia="Calibri" w:hAnsi="Calibri" w:cs="Times New Roman"/>
          <w:b/>
          <w:color w:val="595959"/>
        </w:rPr>
      </w:pPr>
    </w:p>
    <w:p w14:paraId="165935F5" w14:textId="77777777" w:rsidR="00FE5EE1" w:rsidRPr="00575A7E" w:rsidRDefault="00FE5EE1" w:rsidP="003B1BE9">
      <w:pPr>
        <w:spacing w:line="276" w:lineRule="auto"/>
        <w:rPr>
          <w:rFonts w:ascii="Calibri" w:eastAsia="Calibri" w:hAnsi="Calibri" w:cs="Times New Roman"/>
          <w:b/>
          <w:color w:val="595959"/>
        </w:rPr>
      </w:pPr>
    </w:p>
    <w:p w14:paraId="7777ABED" w14:textId="77777777" w:rsidR="00FE5EE1" w:rsidRPr="00575A7E" w:rsidRDefault="00FE5EE1" w:rsidP="003B1BE9">
      <w:pPr>
        <w:spacing w:line="276" w:lineRule="auto"/>
        <w:rPr>
          <w:rFonts w:ascii="Calibri" w:eastAsia="Calibri" w:hAnsi="Calibri" w:cs="Times New Roman"/>
          <w:b/>
          <w:color w:val="595959"/>
        </w:rPr>
      </w:pPr>
    </w:p>
    <w:p w14:paraId="450B9E94" w14:textId="77777777" w:rsidR="00FE5EE1" w:rsidRPr="00575A7E" w:rsidRDefault="00FE5EE1" w:rsidP="003B1BE9">
      <w:pPr>
        <w:spacing w:line="276" w:lineRule="auto"/>
        <w:rPr>
          <w:rFonts w:ascii="Calibri" w:eastAsia="Calibri" w:hAnsi="Calibri" w:cs="Times New Roman"/>
          <w:b/>
          <w:color w:val="595959"/>
        </w:rPr>
      </w:pPr>
    </w:p>
    <w:p w14:paraId="69CF7ACA" w14:textId="77777777" w:rsidR="00FE5EE1" w:rsidRPr="00575A7E" w:rsidRDefault="00FE5EE1" w:rsidP="003B1BE9">
      <w:pPr>
        <w:spacing w:line="276" w:lineRule="auto"/>
        <w:rPr>
          <w:rFonts w:ascii="Calibri" w:eastAsia="Calibri" w:hAnsi="Calibri" w:cs="Times New Roman"/>
          <w:b/>
          <w:color w:val="595959"/>
        </w:rPr>
      </w:pPr>
    </w:p>
    <w:p w14:paraId="57A68E38" w14:textId="77777777" w:rsidR="00FE5EE1" w:rsidRPr="00575A7E" w:rsidRDefault="00FE5EE1" w:rsidP="003B1BE9">
      <w:pPr>
        <w:spacing w:line="276" w:lineRule="auto"/>
        <w:rPr>
          <w:rFonts w:ascii="Calibri" w:eastAsia="Calibri" w:hAnsi="Calibri" w:cs="Times New Roman"/>
          <w:b/>
          <w:color w:val="595959"/>
        </w:rPr>
      </w:pPr>
    </w:p>
    <w:p w14:paraId="2BAAD755" w14:textId="77777777" w:rsidR="00FE5EE1" w:rsidRPr="00575A7E" w:rsidRDefault="00FE5EE1" w:rsidP="003B1BE9">
      <w:pPr>
        <w:spacing w:line="276" w:lineRule="auto"/>
        <w:rPr>
          <w:rFonts w:ascii="Calibri" w:eastAsia="Calibri" w:hAnsi="Calibri" w:cs="Times New Roman"/>
          <w:b/>
          <w:color w:val="595959"/>
        </w:rPr>
      </w:pPr>
    </w:p>
    <w:p w14:paraId="54139B50" w14:textId="77777777" w:rsidR="00FE5EE1" w:rsidRPr="00575A7E" w:rsidRDefault="00FE5EE1" w:rsidP="003B1BE9">
      <w:pPr>
        <w:spacing w:line="276" w:lineRule="auto"/>
        <w:rPr>
          <w:rFonts w:ascii="Calibri" w:eastAsia="Calibri" w:hAnsi="Calibri" w:cs="Times New Roman"/>
          <w:b/>
          <w:color w:val="595959"/>
        </w:rPr>
      </w:pPr>
    </w:p>
    <w:p w14:paraId="0F3A3830" w14:textId="77777777" w:rsidR="00FE5EE1" w:rsidRPr="00575A7E" w:rsidRDefault="00FE5EE1" w:rsidP="003B1BE9">
      <w:pPr>
        <w:spacing w:line="276" w:lineRule="auto"/>
        <w:rPr>
          <w:rFonts w:ascii="Calibri" w:eastAsia="Calibri" w:hAnsi="Calibri" w:cs="Times New Roman"/>
          <w:b/>
          <w:color w:val="595959"/>
        </w:rPr>
      </w:pPr>
    </w:p>
    <w:p w14:paraId="478A4109" w14:textId="77777777" w:rsidR="00FE5EE1" w:rsidRPr="00575A7E" w:rsidRDefault="00FE5EE1" w:rsidP="003B1BE9">
      <w:pPr>
        <w:spacing w:line="276" w:lineRule="auto"/>
        <w:rPr>
          <w:rFonts w:ascii="Calibri" w:eastAsia="Calibri" w:hAnsi="Calibri" w:cs="Times New Roman"/>
          <w:b/>
          <w:color w:val="595959"/>
        </w:rPr>
      </w:pPr>
    </w:p>
    <w:p w14:paraId="1DEDC792" w14:textId="77777777" w:rsidR="00FE5EE1" w:rsidRPr="00575A7E" w:rsidRDefault="00FE5EE1" w:rsidP="003B1BE9">
      <w:pPr>
        <w:spacing w:line="276" w:lineRule="auto"/>
        <w:rPr>
          <w:rFonts w:ascii="Calibri" w:eastAsia="Calibri" w:hAnsi="Calibri" w:cs="Times New Roman"/>
          <w:b/>
          <w:color w:val="595959"/>
        </w:rPr>
      </w:pPr>
    </w:p>
    <w:p w14:paraId="460DE296" w14:textId="77777777" w:rsidR="00FE5EE1" w:rsidRPr="00575A7E" w:rsidRDefault="00FE5EE1" w:rsidP="003B1BE9">
      <w:pPr>
        <w:spacing w:line="276" w:lineRule="auto"/>
        <w:rPr>
          <w:rFonts w:ascii="Calibri" w:eastAsia="Calibri" w:hAnsi="Calibri" w:cs="Times New Roman"/>
          <w:b/>
          <w:color w:val="595959"/>
        </w:rPr>
      </w:pPr>
    </w:p>
    <w:p w14:paraId="1DBA7753" w14:textId="77777777" w:rsidR="00FE5EE1" w:rsidRPr="00575A7E" w:rsidRDefault="00FE5EE1" w:rsidP="003B1BE9">
      <w:pPr>
        <w:spacing w:line="276" w:lineRule="auto"/>
        <w:rPr>
          <w:rFonts w:ascii="Calibri" w:eastAsia="Calibri" w:hAnsi="Calibri" w:cs="Times New Roman"/>
          <w:b/>
          <w:color w:val="595959"/>
        </w:rPr>
      </w:pPr>
    </w:p>
    <w:p w14:paraId="15807509" w14:textId="77777777" w:rsidR="00FE5EE1" w:rsidRPr="00575A7E" w:rsidRDefault="00FE5EE1" w:rsidP="003B1BE9">
      <w:pPr>
        <w:spacing w:line="276" w:lineRule="auto"/>
        <w:rPr>
          <w:rFonts w:ascii="Calibri" w:eastAsia="Calibri" w:hAnsi="Calibri" w:cs="Times New Roman"/>
          <w:b/>
          <w:color w:val="595959"/>
        </w:rPr>
      </w:pPr>
    </w:p>
    <w:p w14:paraId="7C16917D" w14:textId="77777777" w:rsidR="00FE5EE1" w:rsidRPr="00575A7E" w:rsidRDefault="00FE5EE1" w:rsidP="003B1BE9">
      <w:pPr>
        <w:spacing w:line="276" w:lineRule="auto"/>
        <w:rPr>
          <w:rFonts w:ascii="Calibri" w:eastAsia="Calibri" w:hAnsi="Calibri" w:cs="Times New Roman"/>
          <w:b/>
          <w:color w:val="595959"/>
        </w:rPr>
      </w:pPr>
    </w:p>
    <w:p w14:paraId="08D86399" w14:textId="77777777" w:rsidR="00FE5EE1" w:rsidRPr="00575A7E" w:rsidRDefault="00FE5EE1" w:rsidP="003B1BE9">
      <w:pPr>
        <w:spacing w:line="276" w:lineRule="auto"/>
        <w:rPr>
          <w:rFonts w:ascii="Calibri" w:eastAsia="Calibri" w:hAnsi="Calibri" w:cs="Times New Roman"/>
          <w:b/>
          <w:color w:val="595959"/>
        </w:rPr>
      </w:pPr>
    </w:p>
    <w:p w14:paraId="7071895F" w14:textId="77777777" w:rsidR="00FE5EE1" w:rsidRPr="00575A7E" w:rsidRDefault="00FE5EE1" w:rsidP="003B1BE9">
      <w:pPr>
        <w:spacing w:line="276" w:lineRule="auto"/>
        <w:rPr>
          <w:rFonts w:ascii="Calibri" w:eastAsia="Calibri" w:hAnsi="Calibri" w:cs="Times New Roman"/>
          <w:b/>
          <w:color w:val="595959"/>
        </w:rPr>
      </w:pPr>
    </w:p>
    <w:p w14:paraId="4EAFE278" w14:textId="77777777" w:rsidR="00FE5EE1" w:rsidRPr="00575A7E" w:rsidRDefault="00FE5EE1" w:rsidP="003B1BE9">
      <w:pPr>
        <w:spacing w:line="276" w:lineRule="auto"/>
        <w:rPr>
          <w:rFonts w:ascii="Calibri" w:eastAsia="Calibri" w:hAnsi="Calibri" w:cs="Times New Roman"/>
          <w:b/>
          <w:color w:val="595959"/>
        </w:rPr>
      </w:pPr>
    </w:p>
    <w:p w14:paraId="4C8FF13B" w14:textId="77777777" w:rsidR="00FE5EE1" w:rsidRPr="00575A7E" w:rsidRDefault="00FE5EE1" w:rsidP="003B1BE9">
      <w:pPr>
        <w:spacing w:line="276" w:lineRule="auto"/>
        <w:rPr>
          <w:rFonts w:ascii="Calibri" w:eastAsia="Calibri" w:hAnsi="Calibri" w:cs="Times New Roman"/>
          <w:b/>
          <w:color w:val="595959"/>
        </w:rPr>
      </w:pPr>
    </w:p>
    <w:p w14:paraId="492643E4" w14:textId="77777777" w:rsidR="00FE5EE1" w:rsidRPr="00575A7E" w:rsidRDefault="00FE5EE1" w:rsidP="003B1BE9">
      <w:pPr>
        <w:spacing w:line="276" w:lineRule="auto"/>
        <w:rPr>
          <w:rFonts w:ascii="Calibri" w:eastAsia="Calibri" w:hAnsi="Calibri" w:cs="Times New Roman"/>
          <w:b/>
          <w:color w:val="595959"/>
        </w:rPr>
      </w:pPr>
    </w:p>
    <w:p w14:paraId="287A6886" w14:textId="77777777" w:rsidR="005532F8" w:rsidRPr="00575A7E" w:rsidRDefault="005532F8" w:rsidP="003B1BE9">
      <w:pPr>
        <w:spacing w:line="276" w:lineRule="auto"/>
        <w:rPr>
          <w:rFonts w:ascii="Calibri" w:eastAsia="Calibri" w:hAnsi="Calibri" w:cs="Times New Roman"/>
          <w:b/>
          <w:color w:val="595959"/>
        </w:rPr>
      </w:pPr>
    </w:p>
    <w:p w14:paraId="7B089DCA" w14:textId="77777777" w:rsidR="009024B5" w:rsidRPr="00575A7E" w:rsidRDefault="009024B5" w:rsidP="003B1BE9">
      <w:pPr>
        <w:spacing w:line="276" w:lineRule="auto"/>
        <w:rPr>
          <w:rFonts w:ascii="Calibri" w:eastAsia="Calibri" w:hAnsi="Calibri" w:cs="Times New Roman"/>
          <w:b/>
          <w:color w:val="595959"/>
        </w:rPr>
      </w:pPr>
    </w:p>
    <w:p w14:paraId="149A48AB" w14:textId="77777777" w:rsidR="009024B5" w:rsidRPr="00575A7E" w:rsidRDefault="009024B5" w:rsidP="003B1BE9">
      <w:pPr>
        <w:spacing w:line="276" w:lineRule="auto"/>
        <w:rPr>
          <w:rFonts w:ascii="Calibri" w:eastAsia="Calibri" w:hAnsi="Calibri" w:cs="Times New Roman"/>
          <w:b/>
          <w:color w:val="595959"/>
        </w:rPr>
      </w:pPr>
    </w:p>
    <w:p w14:paraId="7DE28C61" w14:textId="77777777" w:rsidR="00FE5EE1" w:rsidRPr="00575A7E" w:rsidRDefault="00FE5EE1" w:rsidP="003B1BE9">
      <w:pPr>
        <w:spacing w:line="276" w:lineRule="auto"/>
        <w:rPr>
          <w:rFonts w:ascii="Calibri" w:eastAsia="Calibri" w:hAnsi="Calibri" w:cs="Times New Roman"/>
          <w:b/>
          <w:color w:val="595959"/>
        </w:rPr>
      </w:pPr>
    </w:p>
    <w:p w14:paraId="77305148" w14:textId="77777777" w:rsidR="00FE5EE1" w:rsidRPr="00575A7E" w:rsidRDefault="00FE5EE1" w:rsidP="003B1BE9">
      <w:pPr>
        <w:spacing w:line="276" w:lineRule="auto"/>
        <w:jc w:val="center"/>
        <w:rPr>
          <w:rFonts w:ascii="Calibri" w:eastAsia="Calibri" w:hAnsi="Calibri" w:cs="Times New Roman"/>
          <w:color w:val="595959"/>
        </w:rPr>
      </w:pPr>
      <w:r w:rsidRPr="00575A7E">
        <w:rPr>
          <w:rFonts w:ascii="Calibri" w:eastAsia="Calibri" w:hAnsi="Calibri" w:cs="Times New Roman"/>
          <w:color w:val="595959"/>
        </w:rPr>
        <w:t>[κενή σελίδα]</w:t>
      </w:r>
      <w:r w:rsidRPr="00575A7E">
        <w:rPr>
          <w:rFonts w:ascii="Calibri" w:eastAsia="Calibri" w:hAnsi="Calibri" w:cs="Times New Roman"/>
          <w:color w:val="595959"/>
        </w:rPr>
        <w:br w:type="page"/>
      </w:r>
    </w:p>
    <w:sdt>
      <w:sdtPr>
        <w:rPr>
          <w:rFonts w:asciiTheme="minorHAnsi" w:eastAsiaTheme="minorHAnsi" w:hAnsiTheme="minorHAnsi" w:cstheme="minorBidi"/>
          <w:b w:val="0"/>
          <w:bCs w:val="0"/>
          <w:color w:val="auto"/>
          <w:sz w:val="22"/>
          <w:szCs w:val="22"/>
          <w:lang w:val="el-GR" w:eastAsia="en-US"/>
        </w:rPr>
        <w:id w:val="103623572"/>
        <w:docPartObj>
          <w:docPartGallery w:val="Table of Contents"/>
          <w:docPartUnique/>
        </w:docPartObj>
      </w:sdtPr>
      <w:sdtEndPr>
        <w:rPr>
          <w:rStyle w:val="-"/>
          <w:rFonts w:eastAsia="Times New Roman" w:cstheme="majorBidi"/>
          <w:bCs/>
          <w:color w:val="595959" w:themeColor="text1" w:themeTint="A6"/>
          <w:u w:val="single"/>
        </w:rPr>
      </w:sdtEndPr>
      <w:sdtContent>
        <w:p w14:paraId="13AB34AA" w14:textId="77777777" w:rsidR="00DF16C7" w:rsidRPr="00575A7E" w:rsidRDefault="00FE3A8B" w:rsidP="00481B33">
          <w:pPr>
            <w:pStyle w:val="ad"/>
            <w:spacing w:after="240" w:line="240" w:lineRule="auto"/>
            <w:jc w:val="both"/>
            <w:rPr>
              <w:lang w:val="el-GR"/>
            </w:rPr>
          </w:pPr>
          <w:r w:rsidRPr="00575A7E">
            <w:rPr>
              <w:lang w:val="el-GR"/>
            </w:rPr>
            <w:t>Περιεχόμενα</w:t>
          </w:r>
        </w:p>
        <w:p w14:paraId="3DDB1B63" w14:textId="77777777" w:rsidR="00E84DEC" w:rsidRPr="00E84DEC" w:rsidRDefault="000861AC">
          <w:pPr>
            <w:pStyle w:val="10"/>
            <w:rPr>
              <w:rFonts w:eastAsiaTheme="minorEastAsia" w:cstheme="minorBidi"/>
              <w:b w:val="0"/>
              <w:bCs w:val="0"/>
              <w:noProof/>
              <w:color w:val="595959" w:themeColor="text1" w:themeTint="A6"/>
              <w:lang w:eastAsia="el-GR" w:bidi="ar-SA"/>
            </w:rPr>
          </w:pPr>
          <w:r w:rsidRPr="009D66A4">
            <w:rPr>
              <w:b w:val="0"/>
              <w:bCs w:val="0"/>
              <w:color w:val="595959" w:themeColor="text1" w:themeTint="A6"/>
            </w:rPr>
            <w:fldChar w:fldCharType="begin"/>
          </w:r>
          <w:r w:rsidR="00EE7860" w:rsidRPr="009D66A4">
            <w:rPr>
              <w:b w:val="0"/>
              <w:bCs w:val="0"/>
              <w:color w:val="595959" w:themeColor="text1" w:themeTint="A6"/>
            </w:rPr>
            <w:instrText xml:space="preserve"> TOC \o "1-3" \h \z \u </w:instrText>
          </w:r>
          <w:r w:rsidRPr="009D66A4">
            <w:rPr>
              <w:b w:val="0"/>
              <w:bCs w:val="0"/>
              <w:color w:val="595959" w:themeColor="text1" w:themeTint="A6"/>
            </w:rPr>
            <w:fldChar w:fldCharType="separate"/>
          </w:r>
          <w:hyperlink w:anchor="_Toc67401890" w:history="1">
            <w:r w:rsidR="00E84DEC" w:rsidRPr="00E84DEC">
              <w:rPr>
                <w:rStyle w:val="-"/>
                <w:noProof/>
                <w:color w:val="595959" w:themeColor="text1" w:themeTint="A6"/>
              </w:rPr>
              <w:t>Σύνοψη</w:t>
            </w:r>
            <w:r w:rsidR="00E84DEC" w:rsidRPr="00E84DEC">
              <w:rPr>
                <w:noProof/>
                <w:webHidden/>
                <w:color w:val="595959" w:themeColor="text1" w:themeTint="A6"/>
              </w:rPr>
              <w:tab/>
            </w:r>
            <w:r w:rsidR="00E84DEC" w:rsidRPr="00E84DEC">
              <w:rPr>
                <w:noProof/>
                <w:webHidden/>
                <w:color w:val="595959" w:themeColor="text1" w:themeTint="A6"/>
              </w:rPr>
              <w:fldChar w:fldCharType="begin"/>
            </w:r>
            <w:r w:rsidR="00E84DEC" w:rsidRPr="00E84DEC">
              <w:rPr>
                <w:noProof/>
                <w:webHidden/>
                <w:color w:val="595959" w:themeColor="text1" w:themeTint="A6"/>
              </w:rPr>
              <w:instrText xml:space="preserve"> PAGEREF _Toc67401890 \h </w:instrText>
            </w:r>
            <w:r w:rsidR="00E84DEC" w:rsidRPr="00E84DEC">
              <w:rPr>
                <w:noProof/>
                <w:webHidden/>
                <w:color w:val="595959" w:themeColor="text1" w:themeTint="A6"/>
              </w:rPr>
            </w:r>
            <w:r w:rsidR="00E84DEC" w:rsidRPr="00E84DEC">
              <w:rPr>
                <w:noProof/>
                <w:webHidden/>
                <w:color w:val="595959" w:themeColor="text1" w:themeTint="A6"/>
              </w:rPr>
              <w:fldChar w:fldCharType="separate"/>
            </w:r>
            <w:r w:rsidR="006533F8">
              <w:rPr>
                <w:noProof/>
                <w:webHidden/>
                <w:color w:val="595959" w:themeColor="text1" w:themeTint="A6"/>
              </w:rPr>
              <w:t>6</w:t>
            </w:r>
            <w:r w:rsidR="00E84DEC" w:rsidRPr="00E84DEC">
              <w:rPr>
                <w:noProof/>
                <w:webHidden/>
                <w:color w:val="595959" w:themeColor="text1" w:themeTint="A6"/>
              </w:rPr>
              <w:fldChar w:fldCharType="end"/>
            </w:r>
          </w:hyperlink>
        </w:p>
        <w:p w14:paraId="19B68B52" w14:textId="77777777" w:rsidR="00E84DEC" w:rsidRPr="00E84DEC" w:rsidRDefault="00E84DEC">
          <w:pPr>
            <w:pStyle w:val="10"/>
            <w:rPr>
              <w:rFonts w:eastAsiaTheme="minorEastAsia" w:cstheme="minorBidi"/>
              <w:b w:val="0"/>
              <w:bCs w:val="0"/>
              <w:noProof/>
              <w:color w:val="595959" w:themeColor="text1" w:themeTint="A6"/>
              <w:lang w:eastAsia="el-GR" w:bidi="ar-SA"/>
            </w:rPr>
          </w:pPr>
          <w:hyperlink w:anchor="_Toc67401891" w:history="1">
            <w:r w:rsidRPr="00E84DEC">
              <w:rPr>
                <w:rStyle w:val="-"/>
                <w:noProof/>
                <w:color w:val="595959" w:themeColor="text1" w:themeTint="A6"/>
                <w:lang w:val="en-US"/>
              </w:rPr>
              <w:t>Summary</w:t>
            </w:r>
            <w:r w:rsidRPr="00E84DEC">
              <w:rPr>
                <w:noProof/>
                <w:webHidden/>
                <w:color w:val="595959" w:themeColor="text1" w:themeTint="A6"/>
              </w:rPr>
              <w:tab/>
            </w:r>
            <w:r w:rsidRPr="00E84DEC">
              <w:rPr>
                <w:noProof/>
                <w:webHidden/>
                <w:color w:val="595959" w:themeColor="text1" w:themeTint="A6"/>
              </w:rPr>
              <w:fldChar w:fldCharType="begin"/>
            </w:r>
            <w:r w:rsidRPr="00E84DEC">
              <w:rPr>
                <w:noProof/>
                <w:webHidden/>
                <w:color w:val="595959" w:themeColor="text1" w:themeTint="A6"/>
              </w:rPr>
              <w:instrText xml:space="preserve"> PAGEREF _Toc67401891 \h </w:instrText>
            </w:r>
            <w:r w:rsidRPr="00E84DEC">
              <w:rPr>
                <w:noProof/>
                <w:webHidden/>
                <w:color w:val="595959" w:themeColor="text1" w:themeTint="A6"/>
              </w:rPr>
            </w:r>
            <w:r w:rsidRPr="00E84DEC">
              <w:rPr>
                <w:noProof/>
                <w:webHidden/>
                <w:color w:val="595959" w:themeColor="text1" w:themeTint="A6"/>
              </w:rPr>
              <w:fldChar w:fldCharType="separate"/>
            </w:r>
            <w:r w:rsidR="006533F8">
              <w:rPr>
                <w:noProof/>
                <w:webHidden/>
                <w:color w:val="595959" w:themeColor="text1" w:themeTint="A6"/>
              </w:rPr>
              <w:t>8</w:t>
            </w:r>
            <w:r w:rsidRPr="00E84DEC">
              <w:rPr>
                <w:noProof/>
                <w:webHidden/>
                <w:color w:val="595959" w:themeColor="text1" w:themeTint="A6"/>
              </w:rPr>
              <w:fldChar w:fldCharType="end"/>
            </w:r>
          </w:hyperlink>
        </w:p>
        <w:p w14:paraId="0B0B80EA" w14:textId="77777777" w:rsidR="00E84DEC" w:rsidRPr="00E84DEC" w:rsidRDefault="00E84DEC">
          <w:pPr>
            <w:pStyle w:val="10"/>
            <w:rPr>
              <w:rFonts w:eastAsiaTheme="minorEastAsia" w:cstheme="minorBidi"/>
              <w:b w:val="0"/>
              <w:bCs w:val="0"/>
              <w:noProof/>
              <w:color w:val="595959" w:themeColor="text1" w:themeTint="A6"/>
              <w:lang w:eastAsia="el-GR" w:bidi="ar-SA"/>
            </w:rPr>
          </w:pPr>
          <w:hyperlink w:anchor="_Toc67401892" w:history="1">
            <w:r w:rsidRPr="00E84DEC">
              <w:rPr>
                <w:rStyle w:val="-"/>
                <w:rFonts w:eastAsia="Times New Roman"/>
                <w:noProof/>
                <w:color w:val="595959" w:themeColor="text1" w:themeTint="A6"/>
              </w:rPr>
              <w:t>1. Μακροοικονομικές εξελίξεις</w:t>
            </w:r>
            <w:r w:rsidRPr="00E84DEC">
              <w:rPr>
                <w:noProof/>
                <w:webHidden/>
                <w:color w:val="595959" w:themeColor="text1" w:themeTint="A6"/>
              </w:rPr>
              <w:tab/>
            </w:r>
            <w:r w:rsidRPr="00E84DEC">
              <w:rPr>
                <w:noProof/>
                <w:webHidden/>
                <w:color w:val="595959" w:themeColor="text1" w:themeTint="A6"/>
              </w:rPr>
              <w:fldChar w:fldCharType="begin"/>
            </w:r>
            <w:r w:rsidRPr="00E84DEC">
              <w:rPr>
                <w:noProof/>
                <w:webHidden/>
                <w:color w:val="595959" w:themeColor="text1" w:themeTint="A6"/>
              </w:rPr>
              <w:instrText xml:space="preserve"> PAGEREF _Toc67401892 \h </w:instrText>
            </w:r>
            <w:r w:rsidRPr="00E84DEC">
              <w:rPr>
                <w:noProof/>
                <w:webHidden/>
                <w:color w:val="595959" w:themeColor="text1" w:themeTint="A6"/>
              </w:rPr>
            </w:r>
            <w:r w:rsidRPr="00E84DEC">
              <w:rPr>
                <w:noProof/>
                <w:webHidden/>
                <w:color w:val="595959" w:themeColor="text1" w:themeTint="A6"/>
              </w:rPr>
              <w:fldChar w:fldCharType="separate"/>
            </w:r>
            <w:r w:rsidR="006533F8">
              <w:rPr>
                <w:noProof/>
                <w:webHidden/>
                <w:color w:val="595959" w:themeColor="text1" w:themeTint="A6"/>
              </w:rPr>
              <w:t>11</w:t>
            </w:r>
            <w:r w:rsidRPr="00E84DEC">
              <w:rPr>
                <w:noProof/>
                <w:webHidden/>
                <w:color w:val="595959" w:themeColor="text1" w:themeTint="A6"/>
              </w:rPr>
              <w:fldChar w:fldCharType="end"/>
            </w:r>
          </w:hyperlink>
        </w:p>
        <w:p w14:paraId="535D465B" w14:textId="77777777" w:rsidR="00E84DEC" w:rsidRPr="00E84DEC" w:rsidRDefault="00E84DEC">
          <w:pPr>
            <w:pStyle w:val="20"/>
            <w:rPr>
              <w:rFonts w:asciiTheme="minorHAnsi" w:eastAsiaTheme="minorEastAsia" w:hAnsiTheme="minorHAnsi" w:cstheme="minorBidi"/>
              <w:bCs w:val="0"/>
              <w:lang w:eastAsia="el-GR"/>
            </w:rPr>
          </w:pPr>
          <w:hyperlink w:anchor="_Toc67401893" w:history="1">
            <w:r w:rsidRPr="00E84DEC">
              <w:rPr>
                <w:rStyle w:val="-"/>
                <w:color w:val="595959" w:themeColor="text1" w:themeTint="A6"/>
              </w:rPr>
              <w:t>1.1. Διεθνές και ευρωπαϊκό περιβάλλον</w:t>
            </w:r>
            <w:r w:rsidRPr="00E84DEC">
              <w:rPr>
                <w:webHidden/>
              </w:rPr>
              <w:tab/>
            </w:r>
            <w:r w:rsidRPr="00E84DEC">
              <w:rPr>
                <w:webHidden/>
              </w:rPr>
              <w:fldChar w:fldCharType="begin"/>
            </w:r>
            <w:r w:rsidRPr="00E84DEC">
              <w:rPr>
                <w:webHidden/>
              </w:rPr>
              <w:instrText xml:space="preserve"> PAGEREF _Toc67401893 \h </w:instrText>
            </w:r>
            <w:r w:rsidRPr="00E84DEC">
              <w:rPr>
                <w:webHidden/>
              </w:rPr>
            </w:r>
            <w:r w:rsidRPr="00E84DEC">
              <w:rPr>
                <w:webHidden/>
              </w:rPr>
              <w:fldChar w:fldCharType="separate"/>
            </w:r>
            <w:r w:rsidR="006533F8">
              <w:rPr>
                <w:webHidden/>
              </w:rPr>
              <w:t>11</w:t>
            </w:r>
            <w:r w:rsidRPr="00E84DEC">
              <w:rPr>
                <w:webHidden/>
              </w:rPr>
              <w:fldChar w:fldCharType="end"/>
            </w:r>
          </w:hyperlink>
        </w:p>
        <w:p w14:paraId="3C60F77C" w14:textId="77777777" w:rsidR="00E84DEC" w:rsidRPr="00E84DEC" w:rsidRDefault="00E84DEC">
          <w:pPr>
            <w:pStyle w:val="20"/>
            <w:rPr>
              <w:rFonts w:asciiTheme="minorHAnsi" w:eastAsiaTheme="minorEastAsia" w:hAnsiTheme="minorHAnsi" w:cstheme="minorBidi"/>
              <w:bCs w:val="0"/>
              <w:lang w:eastAsia="el-GR"/>
            </w:rPr>
          </w:pPr>
          <w:hyperlink w:anchor="_Toc67401894" w:history="1">
            <w:r w:rsidRPr="00E84DEC">
              <w:rPr>
                <w:rStyle w:val="-"/>
                <w:color w:val="595959" w:themeColor="text1" w:themeTint="A6"/>
              </w:rPr>
              <w:t>1.2. Εγχώριο περιβάλλον</w:t>
            </w:r>
            <w:r w:rsidRPr="00E84DEC">
              <w:rPr>
                <w:webHidden/>
              </w:rPr>
              <w:tab/>
            </w:r>
            <w:r w:rsidRPr="00E84DEC">
              <w:rPr>
                <w:webHidden/>
              </w:rPr>
              <w:fldChar w:fldCharType="begin"/>
            </w:r>
            <w:r w:rsidRPr="00E84DEC">
              <w:rPr>
                <w:webHidden/>
              </w:rPr>
              <w:instrText xml:space="preserve"> PAGEREF _Toc67401894 \h </w:instrText>
            </w:r>
            <w:r w:rsidRPr="00E84DEC">
              <w:rPr>
                <w:webHidden/>
              </w:rPr>
            </w:r>
            <w:r w:rsidRPr="00E84DEC">
              <w:rPr>
                <w:webHidden/>
              </w:rPr>
              <w:fldChar w:fldCharType="separate"/>
            </w:r>
            <w:r w:rsidR="006533F8">
              <w:rPr>
                <w:webHidden/>
              </w:rPr>
              <w:t>14</w:t>
            </w:r>
            <w:r w:rsidRPr="00E84DEC">
              <w:rPr>
                <w:webHidden/>
              </w:rPr>
              <w:fldChar w:fldCharType="end"/>
            </w:r>
          </w:hyperlink>
        </w:p>
        <w:p w14:paraId="6F03357F"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895" w:history="1">
            <w:r w:rsidRPr="00E84DEC">
              <w:rPr>
                <w:rStyle w:val="-"/>
                <w:color w:val="595959" w:themeColor="text1" w:themeTint="A6"/>
              </w:rPr>
              <w:t>ΑΕΠ και συνιστώσες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_Toc67401895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14</w:t>
            </w:r>
            <w:r w:rsidRPr="00E84DEC">
              <w:rPr>
                <w:webHidden/>
                <w:color w:val="595959" w:themeColor="text1" w:themeTint="A6"/>
              </w:rPr>
              <w:fldChar w:fldCharType="end"/>
            </w:r>
          </w:hyperlink>
        </w:p>
        <w:p w14:paraId="69284717"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896" w:history="1">
            <w:r w:rsidRPr="00E84DEC">
              <w:rPr>
                <w:rStyle w:val="-"/>
                <w:color w:val="595959" w:themeColor="text1" w:themeTint="A6"/>
              </w:rPr>
              <w:t>Βραχυχρόνιοι δείκτες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_Toc67401896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15</w:t>
            </w:r>
            <w:r w:rsidRPr="00E84DEC">
              <w:rPr>
                <w:webHidden/>
                <w:color w:val="595959" w:themeColor="text1" w:themeTint="A6"/>
              </w:rPr>
              <w:fldChar w:fldCharType="end"/>
            </w:r>
          </w:hyperlink>
        </w:p>
        <w:p w14:paraId="493C243B"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897" w:history="1">
            <w:r w:rsidRPr="00E84DEC">
              <w:rPr>
                <w:rStyle w:val="-"/>
                <w:rFonts w:eastAsia="Calibri"/>
                <w:color w:val="595959" w:themeColor="text1" w:themeTint="A6"/>
              </w:rPr>
              <w:t>Δημοσιονομικές παρεμβάσεις και προβλέψεις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_Toc67401897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15</w:t>
            </w:r>
            <w:r w:rsidRPr="00E84DEC">
              <w:rPr>
                <w:webHidden/>
                <w:color w:val="595959" w:themeColor="text1" w:themeTint="A6"/>
              </w:rPr>
              <w:fldChar w:fldCharType="end"/>
            </w:r>
          </w:hyperlink>
        </w:p>
        <w:p w14:paraId="2346D456"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898" w:history="1">
            <w:r w:rsidRPr="00E84DEC">
              <w:rPr>
                <w:rStyle w:val="-"/>
                <w:color w:val="595959" w:themeColor="text1" w:themeTint="A6"/>
              </w:rPr>
              <w:t>Κίνδυνοι</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_Toc67401898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18</w:t>
            </w:r>
            <w:r w:rsidRPr="00E84DEC">
              <w:rPr>
                <w:webHidden/>
                <w:color w:val="595959" w:themeColor="text1" w:themeTint="A6"/>
              </w:rPr>
              <w:fldChar w:fldCharType="end"/>
            </w:r>
          </w:hyperlink>
        </w:p>
        <w:p w14:paraId="6F4CA61B"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899" w:history="1">
            <w:r w:rsidRPr="00E84DEC">
              <w:rPr>
                <w:rStyle w:val="-"/>
                <w:color w:val="595959" w:themeColor="text1" w:themeTint="A6"/>
              </w:rPr>
              <w:t>Προβλέψεις Ευρωπαϊκής Επιτροπής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_Toc67401899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18</w:t>
            </w:r>
            <w:r w:rsidRPr="00E84DEC">
              <w:rPr>
                <w:webHidden/>
                <w:color w:val="595959" w:themeColor="text1" w:themeTint="A6"/>
              </w:rPr>
              <w:fldChar w:fldCharType="end"/>
            </w:r>
          </w:hyperlink>
        </w:p>
        <w:p w14:paraId="6A8D42DB"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0" w:history="1">
            <w:r w:rsidRPr="00E84DEC">
              <w:rPr>
                <w:rStyle w:val="-"/>
                <w:color w:val="595959" w:themeColor="text1" w:themeTint="A6"/>
              </w:rPr>
              <w:t>Ρευστότητα</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_Toc67401900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19</w:t>
            </w:r>
            <w:r w:rsidRPr="00E84DEC">
              <w:rPr>
                <w:webHidden/>
                <w:color w:val="595959" w:themeColor="text1" w:themeTint="A6"/>
              </w:rPr>
              <w:fldChar w:fldCharType="end"/>
            </w:r>
          </w:hyperlink>
        </w:p>
        <w:p w14:paraId="484ABEE0"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1" w:history="1">
            <w:r w:rsidRPr="00E84DEC">
              <w:rPr>
                <w:rStyle w:val="-"/>
                <w:rFonts w:asciiTheme="majorHAnsi" w:hAnsiTheme="majorHAnsi" w:cstheme="majorBidi"/>
                <w:color w:val="595959" w:themeColor="text1" w:themeTint="A6"/>
              </w:rPr>
              <w:t>Πληθωρισμός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_Toc67401901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19</w:t>
            </w:r>
            <w:r w:rsidRPr="00E84DEC">
              <w:rPr>
                <w:webHidden/>
                <w:color w:val="595959" w:themeColor="text1" w:themeTint="A6"/>
              </w:rPr>
              <w:fldChar w:fldCharType="end"/>
            </w:r>
          </w:hyperlink>
        </w:p>
        <w:p w14:paraId="76895FC1"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2" w:history="1">
            <w:r w:rsidRPr="00E84DEC">
              <w:rPr>
                <w:rStyle w:val="-"/>
                <w:color w:val="595959" w:themeColor="text1" w:themeTint="A6"/>
              </w:rPr>
              <w:t>Εξωτερικός τομέας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_Toc67401902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20</w:t>
            </w:r>
            <w:r w:rsidRPr="00E84DEC">
              <w:rPr>
                <w:webHidden/>
                <w:color w:val="595959" w:themeColor="text1" w:themeTint="A6"/>
              </w:rPr>
              <w:fldChar w:fldCharType="end"/>
            </w:r>
          </w:hyperlink>
        </w:p>
        <w:p w14:paraId="0F2B5ACA"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3" w:history="1">
            <w:r w:rsidRPr="00E84DEC">
              <w:rPr>
                <w:rStyle w:val="-"/>
                <w:color w:val="595959" w:themeColor="text1" w:themeTint="A6"/>
              </w:rPr>
              <w:t>Ανεργία</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_Toc67401903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21</w:t>
            </w:r>
            <w:r w:rsidRPr="00E84DEC">
              <w:rPr>
                <w:webHidden/>
                <w:color w:val="595959" w:themeColor="text1" w:themeTint="A6"/>
              </w:rPr>
              <w:fldChar w:fldCharType="end"/>
            </w:r>
          </w:hyperlink>
        </w:p>
        <w:p w14:paraId="0D46AB9C"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4" w:history="1">
            <w:r w:rsidRPr="00E84DEC">
              <w:rPr>
                <w:rStyle w:val="-"/>
                <w:color w:val="595959" w:themeColor="text1" w:themeTint="A6"/>
              </w:rPr>
              <w:t>Απασχόληση</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_Toc67401904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22</w:t>
            </w:r>
            <w:r w:rsidRPr="00E84DEC">
              <w:rPr>
                <w:webHidden/>
                <w:color w:val="595959" w:themeColor="text1" w:themeTint="A6"/>
              </w:rPr>
              <w:fldChar w:fldCharType="end"/>
            </w:r>
          </w:hyperlink>
        </w:p>
        <w:p w14:paraId="6B324A4C"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5" w:history="1">
            <w:r w:rsidRPr="00E84DEC">
              <w:rPr>
                <w:rStyle w:val="-"/>
                <w:color w:val="595959" w:themeColor="text1" w:themeTint="A6"/>
              </w:rPr>
              <w:t>Ροές μισθωτής εργασίας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_Toc67401905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23</w:t>
            </w:r>
            <w:r w:rsidRPr="00E84DEC">
              <w:rPr>
                <w:webHidden/>
                <w:color w:val="595959" w:themeColor="text1" w:themeTint="A6"/>
              </w:rPr>
              <w:fldChar w:fldCharType="end"/>
            </w:r>
          </w:hyperlink>
        </w:p>
        <w:p w14:paraId="03594285"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6" w:history="1">
            <w:r w:rsidRPr="00E84DEC">
              <w:rPr>
                <w:rStyle w:val="-"/>
                <w:color w:val="595959" w:themeColor="text1" w:themeTint="A6"/>
              </w:rPr>
              <w:t>Αμοιβές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_Toc67401906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23</w:t>
            </w:r>
            <w:r w:rsidRPr="00E84DEC">
              <w:rPr>
                <w:webHidden/>
                <w:color w:val="595959" w:themeColor="text1" w:themeTint="A6"/>
              </w:rPr>
              <w:fldChar w:fldCharType="end"/>
            </w:r>
          </w:hyperlink>
        </w:p>
        <w:p w14:paraId="12599401"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07" w:history="1">
            <w:r w:rsidRPr="00E84DEC">
              <w:rPr>
                <w:rStyle w:val="-"/>
                <w:color w:val="595959" w:themeColor="text1" w:themeTint="A6"/>
              </w:rPr>
              <w:t>Διαθέσιμο εισόδημα</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_Toc67401907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23</w:t>
            </w:r>
            <w:r w:rsidRPr="00E84DEC">
              <w:rPr>
                <w:webHidden/>
                <w:color w:val="595959" w:themeColor="text1" w:themeTint="A6"/>
              </w:rPr>
              <w:fldChar w:fldCharType="end"/>
            </w:r>
          </w:hyperlink>
        </w:p>
        <w:p w14:paraId="118F99DF" w14:textId="77777777" w:rsidR="00E84DEC" w:rsidRPr="00E84DEC" w:rsidRDefault="00E84DEC">
          <w:pPr>
            <w:pStyle w:val="10"/>
            <w:rPr>
              <w:rFonts w:eastAsiaTheme="minorEastAsia" w:cstheme="minorBidi"/>
              <w:b w:val="0"/>
              <w:bCs w:val="0"/>
              <w:noProof/>
              <w:color w:val="595959" w:themeColor="text1" w:themeTint="A6"/>
              <w:lang w:eastAsia="el-GR" w:bidi="ar-SA"/>
            </w:rPr>
          </w:pPr>
          <w:hyperlink w:anchor="_Toc67401908" w:history="1">
            <w:r w:rsidRPr="00E84DEC">
              <w:rPr>
                <w:rStyle w:val="-"/>
                <w:noProof/>
                <w:color w:val="595959" w:themeColor="text1" w:themeTint="A6"/>
              </w:rPr>
              <w:t>2. Δημοσιονομικές εξελίξεις</w:t>
            </w:r>
            <w:r w:rsidRPr="00E84DEC">
              <w:rPr>
                <w:noProof/>
                <w:webHidden/>
                <w:color w:val="595959" w:themeColor="text1" w:themeTint="A6"/>
              </w:rPr>
              <w:tab/>
            </w:r>
            <w:r w:rsidRPr="00E84DEC">
              <w:rPr>
                <w:noProof/>
                <w:webHidden/>
                <w:color w:val="595959" w:themeColor="text1" w:themeTint="A6"/>
              </w:rPr>
              <w:fldChar w:fldCharType="begin"/>
            </w:r>
            <w:r w:rsidRPr="00E84DEC">
              <w:rPr>
                <w:noProof/>
                <w:webHidden/>
                <w:color w:val="595959" w:themeColor="text1" w:themeTint="A6"/>
              </w:rPr>
              <w:instrText xml:space="preserve"> PAGEREF _Toc67401908 \h </w:instrText>
            </w:r>
            <w:r w:rsidRPr="00E84DEC">
              <w:rPr>
                <w:noProof/>
                <w:webHidden/>
                <w:color w:val="595959" w:themeColor="text1" w:themeTint="A6"/>
              </w:rPr>
            </w:r>
            <w:r w:rsidRPr="00E84DEC">
              <w:rPr>
                <w:noProof/>
                <w:webHidden/>
                <w:color w:val="595959" w:themeColor="text1" w:themeTint="A6"/>
              </w:rPr>
              <w:fldChar w:fldCharType="separate"/>
            </w:r>
            <w:r w:rsidR="006533F8">
              <w:rPr>
                <w:noProof/>
                <w:webHidden/>
                <w:color w:val="595959" w:themeColor="text1" w:themeTint="A6"/>
              </w:rPr>
              <w:t>25</w:t>
            </w:r>
            <w:r w:rsidRPr="00E84DEC">
              <w:rPr>
                <w:noProof/>
                <w:webHidden/>
                <w:color w:val="595959" w:themeColor="text1" w:themeTint="A6"/>
              </w:rPr>
              <w:fldChar w:fldCharType="end"/>
            </w:r>
          </w:hyperlink>
        </w:p>
        <w:p w14:paraId="4D0EB9A2" w14:textId="77777777" w:rsidR="00E84DEC" w:rsidRPr="00E84DEC" w:rsidRDefault="00E84DEC">
          <w:pPr>
            <w:pStyle w:val="20"/>
            <w:rPr>
              <w:rFonts w:asciiTheme="minorHAnsi" w:eastAsiaTheme="minorEastAsia" w:hAnsiTheme="minorHAnsi" w:cstheme="minorBidi"/>
              <w:bCs w:val="0"/>
              <w:lang w:eastAsia="el-GR"/>
            </w:rPr>
          </w:pPr>
          <w:hyperlink w:anchor="_Toc67401909" w:history="1">
            <w:r w:rsidRPr="00E84DEC">
              <w:rPr>
                <w:rStyle w:val="-"/>
                <w:color w:val="595959" w:themeColor="text1" w:themeTint="A6"/>
              </w:rPr>
              <w:t>2.1. Δημοσιονομικά στοιχεία Ιανουαρίου - Δεκεμβρίου 2020</w:t>
            </w:r>
            <w:r w:rsidRPr="00E84DEC">
              <w:rPr>
                <w:webHidden/>
              </w:rPr>
              <w:tab/>
            </w:r>
            <w:r w:rsidRPr="00E84DEC">
              <w:rPr>
                <w:webHidden/>
              </w:rPr>
              <w:fldChar w:fldCharType="begin"/>
            </w:r>
            <w:r w:rsidRPr="00E84DEC">
              <w:rPr>
                <w:webHidden/>
              </w:rPr>
              <w:instrText xml:space="preserve"> PAGEREF _Toc67401909 \h </w:instrText>
            </w:r>
            <w:r w:rsidRPr="00E84DEC">
              <w:rPr>
                <w:webHidden/>
              </w:rPr>
            </w:r>
            <w:r w:rsidRPr="00E84DEC">
              <w:rPr>
                <w:webHidden/>
              </w:rPr>
              <w:fldChar w:fldCharType="separate"/>
            </w:r>
            <w:r w:rsidR="006533F8">
              <w:rPr>
                <w:webHidden/>
              </w:rPr>
              <w:t>25</w:t>
            </w:r>
            <w:r w:rsidRPr="00E84DEC">
              <w:rPr>
                <w:webHidden/>
              </w:rPr>
              <w:fldChar w:fldCharType="end"/>
            </w:r>
          </w:hyperlink>
        </w:p>
        <w:p w14:paraId="48F4497A"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0" w:history="1">
            <w:r w:rsidRPr="00E84DEC">
              <w:rPr>
                <w:rStyle w:val="-"/>
                <w:rFonts w:eastAsia="Calibri"/>
                <w:color w:val="595959" w:themeColor="text1" w:themeTint="A6"/>
              </w:rPr>
              <w:t>Μεθοδολογικές Διευκρινίσεις</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_Toc67401910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27</w:t>
            </w:r>
            <w:r w:rsidRPr="00E84DEC">
              <w:rPr>
                <w:webHidden/>
                <w:color w:val="595959" w:themeColor="text1" w:themeTint="A6"/>
              </w:rPr>
              <w:fldChar w:fldCharType="end"/>
            </w:r>
          </w:hyperlink>
        </w:p>
        <w:p w14:paraId="5EB3AE0D" w14:textId="77777777" w:rsidR="00E84DEC" w:rsidRPr="00E84DEC" w:rsidRDefault="00E84DEC">
          <w:pPr>
            <w:pStyle w:val="20"/>
            <w:rPr>
              <w:rFonts w:asciiTheme="minorHAnsi" w:eastAsiaTheme="minorEastAsia" w:hAnsiTheme="minorHAnsi" w:cstheme="minorBidi"/>
              <w:bCs w:val="0"/>
              <w:lang w:eastAsia="el-GR"/>
            </w:rPr>
          </w:pPr>
          <w:hyperlink w:anchor="_Toc67401911" w:history="1">
            <w:r w:rsidRPr="00E84DEC">
              <w:rPr>
                <w:rStyle w:val="-"/>
                <w:color w:val="595959" w:themeColor="text1" w:themeTint="A6"/>
              </w:rPr>
              <w:t>2.2. Ληξιπρόθεσμες υποχρεώσεις και απαιτήσεις Δημοσίου</w:t>
            </w:r>
            <w:r w:rsidRPr="00E84DEC">
              <w:rPr>
                <w:webHidden/>
              </w:rPr>
              <w:tab/>
            </w:r>
            <w:r w:rsidRPr="00E84DEC">
              <w:rPr>
                <w:webHidden/>
              </w:rPr>
              <w:fldChar w:fldCharType="begin"/>
            </w:r>
            <w:r w:rsidRPr="00E84DEC">
              <w:rPr>
                <w:webHidden/>
              </w:rPr>
              <w:instrText xml:space="preserve"> PAGEREF _Toc67401911 \h </w:instrText>
            </w:r>
            <w:r w:rsidRPr="00E84DEC">
              <w:rPr>
                <w:webHidden/>
              </w:rPr>
            </w:r>
            <w:r w:rsidRPr="00E84DEC">
              <w:rPr>
                <w:webHidden/>
              </w:rPr>
              <w:fldChar w:fldCharType="separate"/>
            </w:r>
            <w:r w:rsidR="006533F8">
              <w:rPr>
                <w:webHidden/>
              </w:rPr>
              <w:t>29</w:t>
            </w:r>
            <w:r w:rsidRPr="00E84DEC">
              <w:rPr>
                <w:webHidden/>
              </w:rPr>
              <w:fldChar w:fldCharType="end"/>
            </w:r>
          </w:hyperlink>
        </w:p>
        <w:p w14:paraId="2E2915AB"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2" w:history="1">
            <w:r w:rsidRPr="00E84DEC">
              <w:rPr>
                <w:rStyle w:val="-"/>
                <w:rFonts w:eastAsia="Calibri"/>
                <w:color w:val="595959" w:themeColor="text1" w:themeTint="A6"/>
              </w:rPr>
              <w:t>Ληξιπρόθεσμες υποχρεώσεις δημοσίου</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_Toc67401912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29</w:t>
            </w:r>
            <w:r w:rsidRPr="00E84DEC">
              <w:rPr>
                <w:webHidden/>
                <w:color w:val="595959" w:themeColor="text1" w:themeTint="A6"/>
              </w:rPr>
              <w:fldChar w:fldCharType="end"/>
            </w:r>
          </w:hyperlink>
        </w:p>
        <w:p w14:paraId="79311F01"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3" w:history="1">
            <w:r w:rsidRPr="00E84DEC">
              <w:rPr>
                <w:rStyle w:val="-"/>
                <w:color w:val="595959" w:themeColor="text1" w:themeTint="A6"/>
              </w:rPr>
              <w:t>Ληξιπρόθεσμες υποχρεώσεις φορολογούμενων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_Toc67401913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29</w:t>
            </w:r>
            <w:r w:rsidRPr="00E84DEC">
              <w:rPr>
                <w:webHidden/>
                <w:color w:val="595959" w:themeColor="text1" w:themeTint="A6"/>
              </w:rPr>
              <w:fldChar w:fldCharType="end"/>
            </w:r>
          </w:hyperlink>
        </w:p>
        <w:p w14:paraId="6C7F5A0E"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4" w:history="1">
            <w:r w:rsidRPr="00E84DEC">
              <w:rPr>
                <w:rStyle w:val="-"/>
                <w:color w:val="595959" w:themeColor="text1" w:themeTint="A6"/>
              </w:rPr>
              <w:t>Ληξιπρόθεσμες υποχρεώσεις ασφαλισμένων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_Toc67401914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32</w:t>
            </w:r>
            <w:r w:rsidRPr="00E84DEC">
              <w:rPr>
                <w:webHidden/>
                <w:color w:val="595959" w:themeColor="text1" w:themeTint="A6"/>
              </w:rPr>
              <w:fldChar w:fldCharType="end"/>
            </w:r>
          </w:hyperlink>
        </w:p>
        <w:p w14:paraId="6CAEAC1E" w14:textId="77777777" w:rsidR="00E84DEC" w:rsidRPr="00E84DEC" w:rsidRDefault="00E84DEC">
          <w:pPr>
            <w:pStyle w:val="20"/>
            <w:rPr>
              <w:rFonts w:asciiTheme="minorHAnsi" w:eastAsiaTheme="minorEastAsia" w:hAnsiTheme="minorHAnsi" w:cstheme="minorBidi"/>
              <w:bCs w:val="0"/>
              <w:lang w:eastAsia="el-GR"/>
            </w:rPr>
          </w:pPr>
          <w:hyperlink w:anchor="_Toc67401915" w:history="1">
            <w:r w:rsidRPr="00E84DEC">
              <w:rPr>
                <w:rStyle w:val="-"/>
                <w:color w:val="595959" w:themeColor="text1" w:themeTint="A6"/>
              </w:rPr>
              <w:t>2.3. Δημόσιο χρέος</w:t>
            </w:r>
            <w:r w:rsidRPr="00E84DEC">
              <w:rPr>
                <w:webHidden/>
              </w:rPr>
              <w:tab/>
            </w:r>
            <w:r w:rsidRPr="00E84DEC">
              <w:rPr>
                <w:webHidden/>
              </w:rPr>
              <w:fldChar w:fldCharType="begin"/>
            </w:r>
            <w:r w:rsidRPr="00E84DEC">
              <w:rPr>
                <w:webHidden/>
              </w:rPr>
              <w:instrText xml:space="preserve"> PAGEREF _Toc67401915 \h </w:instrText>
            </w:r>
            <w:r w:rsidRPr="00E84DEC">
              <w:rPr>
                <w:webHidden/>
              </w:rPr>
            </w:r>
            <w:r w:rsidRPr="00E84DEC">
              <w:rPr>
                <w:webHidden/>
              </w:rPr>
              <w:fldChar w:fldCharType="separate"/>
            </w:r>
            <w:r w:rsidR="006533F8">
              <w:rPr>
                <w:webHidden/>
              </w:rPr>
              <w:t>35</w:t>
            </w:r>
            <w:r w:rsidRPr="00E84DEC">
              <w:rPr>
                <w:webHidden/>
              </w:rPr>
              <w:fldChar w:fldCharType="end"/>
            </w:r>
          </w:hyperlink>
        </w:p>
        <w:p w14:paraId="040DDD6F"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6" w:history="1">
            <w:r w:rsidRPr="00E84DEC">
              <w:rPr>
                <w:rStyle w:val="-"/>
                <w:color w:val="595959" w:themeColor="text1" w:themeTint="A6"/>
              </w:rPr>
              <w:t>Οι αποδόσεις των δεκαετών τίτλων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_Toc67401916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35</w:t>
            </w:r>
            <w:r w:rsidRPr="00E84DEC">
              <w:rPr>
                <w:webHidden/>
                <w:color w:val="595959" w:themeColor="text1" w:themeTint="A6"/>
              </w:rPr>
              <w:fldChar w:fldCharType="end"/>
            </w:r>
          </w:hyperlink>
        </w:p>
        <w:p w14:paraId="22F49968"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7" w:history="1">
            <w:r w:rsidRPr="00E84DEC">
              <w:rPr>
                <w:rStyle w:val="-"/>
                <w:color w:val="595959" w:themeColor="text1" w:themeTint="A6"/>
              </w:rPr>
              <w:t>Η έκδοση του τριακονταετούς ομολόγου</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_Toc67401917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35</w:t>
            </w:r>
            <w:r w:rsidRPr="00E84DEC">
              <w:rPr>
                <w:webHidden/>
                <w:color w:val="595959" w:themeColor="text1" w:themeTint="A6"/>
              </w:rPr>
              <w:fldChar w:fldCharType="end"/>
            </w:r>
          </w:hyperlink>
        </w:p>
        <w:p w14:paraId="1CADF975"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8" w:history="1">
            <w:r w:rsidRPr="00E84DEC">
              <w:rPr>
                <w:rStyle w:val="-"/>
                <w:color w:val="595959" w:themeColor="text1" w:themeTint="A6"/>
              </w:rPr>
              <w:t>Η έκδοση του δεκαετούς ομολόγου</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_Toc67401918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36</w:t>
            </w:r>
            <w:r w:rsidRPr="00E84DEC">
              <w:rPr>
                <w:webHidden/>
                <w:color w:val="595959" w:themeColor="text1" w:themeTint="A6"/>
              </w:rPr>
              <w:fldChar w:fldCharType="end"/>
            </w:r>
          </w:hyperlink>
        </w:p>
        <w:p w14:paraId="5947CCB4"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19" w:history="1">
            <w:r w:rsidRPr="00E84DEC">
              <w:rPr>
                <w:rStyle w:val="-"/>
                <w:color w:val="595959" w:themeColor="text1" w:themeTint="A6"/>
              </w:rPr>
              <w:t>Η πρόωρη αποπληρωμή του Διεθνούς Νομισματικού Ταμείου</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_Toc67401919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36</w:t>
            </w:r>
            <w:r w:rsidRPr="00E84DEC">
              <w:rPr>
                <w:webHidden/>
                <w:color w:val="595959" w:themeColor="text1" w:themeTint="A6"/>
              </w:rPr>
              <w:fldChar w:fldCharType="end"/>
            </w:r>
          </w:hyperlink>
        </w:p>
        <w:p w14:paraId="3284EF02"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20" w:history="1">
            <w:r w:rsidRPr="00E84DEC">
              <w:rPr>
                <w:rStyle w:val="-"/>
                <w:color w:val="595959" w:themeColor="text1" w:themeTint="A6"/>
              </w:rPr>
              <w:t>Η έκδοση των εντόκων γραμματίων 52 εβδομάδων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_Toc67401920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37</w:t>
            </w:r>
            <w:r w:rsidRPr="00E84DEC">
              <w:rPr>
                <w:webHidden/>
                <w:color w:val="595959" w:themeColor="text1" w:themeTint="A6"/>
              </w:rPr>
              <w:fldChar w:fldCharType="end"/>
            </w:r>
          </w:hyperlink>
        </w:p>
        <w:p w14:paraId="30D1DC7F"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21" w:history="1">
            <w:r w:rsidRPr="00E84DEC">
              <w:rPr>
                <w:rStyle w:val="-"/>
                <w:color w:val="595959" w:themeColor="text1" w:themeTint="A6"/>
              </w:rPr>
              <w:t>Η έκδοση των εντόκων γραμματίων 26 εβδομάδων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_Toc67401921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37</w:t>
            </w:r>
            <w:r w:rsidRPr="00E84DEC">
              <w:rPr>
                <w:webHidden/>
                <w:color w:val="595959" w:themeColor="text1" w:themeTint="A6"/>
              </w:rPr>
              <w:fldChar w:fldCharType="end"/>
            </w:r>
          </w:hyperlink>
        </w:p>
        <w:p w14:paraId="7E04B386"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22" w:history="1">
            <w:r w:rsidRPr="00E84DEC">
              <w:rPr>
                <w:rStyle w:val="-"/>
                <w:color w:val="595959" w:themeColor="text1" w:themeTint="A6"/>
              </w:rPr>
              <w:t>Η έκδοση των εντόκων γραμματίων 13 εβδομάδων</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_Toc67401922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37</w:t>
            </w:r>
            <w:r w:rsidRPr="00E84DEC">
              <w:rPr>
                <w:webHidden/>
                <w:color w:val="595959" w:themeColor="text1" w:themeTint="A6"/>
              </w:rPr>
              <w:fldChar w:fldCharType="end"/>
            </w:r>
          </w:hyperlink>
        </w:p>
        <w:p w14:paraId="15680F26" w14:textId="77777777" w:rsidR="00E84DEC" w:rsidRPr="00E84DEC" w:rsidRDefault="00E84DEC">
          <w:pPr>
            <w:pStyle w:val="10"/>
            <w:rPr>
              <w:rFonts w:eastAsiaTheme="minorEastAsia" w:cstheme="minorBidi"/>
              <w:b w:val="0"/>
              <w:bCs w:val="0"/>
              <w:noProof/>
              <w:color w:val="595959" w:themeColor="text1" w:themeTint="A6"/>
              <w:lang w:eastAsia="el-GR" w:bidi="ar-SA"/>
            </w:rPr>
          </w:pPr>
          <w:hyperlink w:anchor="_Toc67401923" w:history="1">
            <w:r w:rsidRPr="00E84DEC">
              <w:rPr>
                <w:rStyle w:val="-"/>
                <w:noProof/>
                <w:color w:val="595959" w:themeColor="text1" w:themeTint="A6"/>
              </w:rPr>
              <w:t>3. Διαρθρωτικές εξελίξεις</w:t>
            </w:r>
            <w:r w:rsidRPr="00E84DEC">
              <w:rPr>
                <w:noProof/>
                <w:webHidden/>
                <w:color w:val="595959" w:themeColor="text1" w:themeTint="A6"/>
              </w:rPr>
              <w:tab/>
            </w:r>
            <w:r w:rsidRPr="00E84DEC">
              <w:rPr>
                <w:noProof/>
                <w:webHidden/>
                <w:color w:val="595959" w:themeColor="text1" w:themeTint="A6"/>
              </w:rPr>
              <w:fldChar w:fldCharType="begin"/>
            </w:r>
            <w:r w:rsidRPr="00E84DEC">
              <w:rPr>
                <w:noProof/>
                <w:webHidden/>
                <w:color w:val="595959" w:themeColor="text1" w:themeTint="A6"/>
              </w:rPr>
              <w:instrText xml:space="preserve"> PAGEREF _Toc67401923 \h </w:instrText>
            </w:r>
            <w:r w:rsidRPr="00E84DEC">
              <w:rPr>
                <w:noProof/>
                <w:webHidden/>
                <w:color w:val="595959" w:themeColor="text1" w:themeTint="A6"/>
              </w:rPr>
            </w:r>
            <w:r w:rsidRPr="00E84DEC">
              <w:rPr>
                <w:noProof/>
                <w:webHidden/>
                <w:color w:val="595959" w:themeColor="text1" w:themeTint="A6"/>
              </w:rPr>
              <w:fldChar w:fldCharType="separate"/>
            </w:r>
            <w:r w:rsidR="006533F8">
              <w:rPr>
                <w:noProof/>
                <w:webHidden/>
                <w:color w:val="595959" w:themeColor="text1" w:themeTint="A6"/>
              </w:rPr>
              <w:t>39</w:t>
            </w:r>
            <w:r w:rsidRPr="00E84DEC">
              <w:rPr>
                <w:noProof/>
                <w:webHidden/>
                <w:color w:val="595959" w:themeColor="text1" w:themeTint="A6"/>
              </w:rPr>
              <w:fldChar w:fldCharType="end"/>
            </w:r>
          </w:hyperlink>
        </w:p>
        <w:p w14:paraId="5419D4D5" w14:textId="77777777" w:rsidR="00E84DEC" w:rsidRPr="00E84DEC" w:rsidRDefault="00E84DEC">
          <w:pPr>
            <w:pStyle w:val="20"/>
            <w:rPr>
              <w:rFonts w:asciiTheme="minorHAnsi" w:eastAsiaTheme="minorEastAsia" w:hAnsiTheme="minorHAnsi" w:cstheme="minorBidi"/>
              <w:bCs w:val="0"/>
              <w:lang w:eastAsia="el-GR"/>
            </w:rPr>
          </w:pPr>
          <w:hyperlink w:anchor="_Toc67401924" w:history="1">
            <w:r w:rsidRPr="00E84DEC">
              <w:rPr>
                <w:rStyle w:val="-"/>
                <w:color w:val="595959" w:themeColor="text1" w:themeTint="A6"/>
              </w:rPr>
              <w:t>3.1. Κοινωνική ασφάλιση</w:t>
            </w:r>
            <w:r w:rsidRPr="00E84DEC">
              <w:rPr>
                <w:webHidden/>
              </w:rPr>
              <w:tab/>
            </w:r>
            <w:r w:rsidRPr="00E84DEC">
              <w:rPr>
                <w:webHidden/>
              </w:rPr>
              <w:fldChar w:fldCharType="begin"/>
            </w:r>
            <w:r w:rsidRPr="00E84DEC">
              <w:rPr>
                <w:webHidden/>
              </w:rPr>
              <w:instrText xml:space="preserve"> PAGEREF _Toc67401924 \h </w:instrText>
            </w:r>
            <w:r w:rsidRPr="00E84DEC">
              <w:rPr>
                <w:webHidden/>
              </w:rPr>
            </w:r>
            <w:r w:rsidRPr="00E84DEC">
              <w:rPr>
                <w:webHidden/>
              </w:rPr>
              <w:fldChar w:fldCharType="separate"/>
            </w:r>
            <w:r w:rsidR="006533F8">
              <w:rPr>
                <w:webHidden/>
              </w:rPr>
              <w:t>39</w:t>
            </w:r>
            <w:r w:rsidRPr="00E84DEC">
              <w:rPr>
                <w:webHidden/>
              </w:rPr>
              <w:fldChar w:fldCharType="end"/>
            </w:r>
          </w:hyperlink>
        </w:p>
        <w:p w14:paraId="7E06D9C6" w14:textId="77777777" w:rsidR="00E84DEC" w:rsidRPr="00E84DEC" w:rsidRDefault="00E84DEC">
          <w:pPr>
            <w:pStyle w:val="20"/>
            <w:rPr>
              <w:rFonts w:asciiTheme="minorHAnsi" w:eastAsiaTheme="minorEastAsia" w:hAnsiTheme="minorHAnsi" w:cstheme="minorBidi"/>
              <w:bCs w:val="0"/>
              <w:lang w:eastAsia="el-GR"/>
            </w:rPr>
          </w:pPr>
          <w:hyperlink w:anchor="_Toc67401925" w:history="1">
            <w:r w:rsidRPr="00E84DEC">
              <w:rPr>
                <w:rStyle w:val="-"/>
                <w:color w:val="595959" w:themeColor="text1" w:themeTint="A6"/>
              </w:rPr>
              <w:t>3.2. Κοινωνική πρόνοια</w:t>
            </w:r>
            <w:r w:rsidRPr="00E84DEC">
              <w:rPr>
                <w:webHidden/>
              </w:rPr>
              <w:tab/>
            </w:r>
            <w:r w:rsidRPr="00E84DEC">
              <w:rPr>
                <w:webHidden/>
              </w:rPr>
              <w:fldChar w:fldCharType="begin"/>
            </w:r>
            <w:r w:rsidRPr="00E84DEC">
              <w:rPr>
                <w:webHidden/>
              </w:rPr>
              <w:instrText xml:space="preserve"> PAGEREF _Toc67401925 \h </w:instrText>
            </w:r>
            <w:r w:rsidRPr="00E84DEC">
              <w:rPr>
                <w:webHidden/>
              </w:rPr>
            </w:r>
            <w:r w:rsidRPr="00E84DEC">
              <w:rPr>
                <w:webHidden/>
              </w:rPr>
              <w:fldChar w:fldCharType="separate"/>
            </w:r>
            <w:r w:rsidR="006533F8">
              <w:rPr>
                <w:webHidden/>
              </w:rPr>
              <w:t>41</w:t>
            </w:r>
            <w:r w:rsidRPr="00E84DEC">
              <w:rPr>
                <w:webHidden/>
              </w:rPr>
              <w:fldChar w:fldCharType="end"/>
            </w:r>
          </w:hyperlink>
        </w:p>
        <w:p w14:paraId="67DD7E6F" w14:textId="77777777" w:rsidR="00E84DEC" w:rsidRPr="00E84DEC" w:rsidRDefault="00E84DEC">
          <w:pPr>
            <w:pStyle w:val="20"/>
            <w:rPr>
              <w:rFonts w:asciiTheme="minorHAnsi" w:eastAsiaTheme="minorEastAsia" w:hAnsiTheme="minorHAnsi" w:cstheme="minorBidi"/>
              <w:bCs w:val="0"/>
              <w:lang w:eastAsia="el-GR"/>
            </w:rPr>
          </w:pPr>
          <w:hyperlink w:anchor="_Toc67401926" w:history="1">
            <w:r w:rsidRPr="00E84DEC">
              <w:rPr>
                <w:rStyle w:val="-"/>
                <w:color w:val="595959" w:themeColor="text1" w:themeTint="A6"/>
              </w:rPr>
              <w:t>3.3. Κοινωνικές δαπάνες στην Ελλάδα και την Ευρωζώνη</w:t>
            </w:r>
            <w:r w:rsidRPr="00E84DEC">
              <w:rPr>
                <w:webHidden/>
              </w:rPr>
              <w:tab/>
            </w:r>
            <w:r w:rsidRPr="00E84DEC">
              <w:rPr>
                <w:webHidden/>
              </w:rPr>
              <w:fldChar w:fldCharType="begin"/>
            </w:r>
            <w:r w:rsidRPr="00E84DEC">
              <w:rPr>
                <w:webHidden/>
              </w:rPr>
              <w:instrText xml:space="preserve"> PAGEREF _Toc67401926 \h </w:instrText>
            </w:r>
            <w:r w:rsidRPr="00E84DEC">
              <w:rPr>
                <w:webHidden/>
              </w:rPr>
            </w:r>
            <w:r w:rsidRPr="00E84DEC">
              <w:rPr>
                <w:webHidden/>
              </w:rPr>
              <w:fldChar w:fldCharType="separate"/>
            </w:r>
            <w:r w:rsidR="006533F8">
              <w:rPr>
                <w:webHidden/>
              </w:rPr>
              <w:t>43</w:t>
            </w:r>
            <w:r w:rsidRPr="00E84DEC">
              <w:rPr>
                <w:webHidden/>
              </w:rPr>
              <w:fldChar w:fldCharType="end"/>
            </w:r>
          </w:hyperlink>
        </w:p>
        <w:p w14:paraId="37484BC1" w14:textId="77777777" w:rsidR="00E84DEC" w:rsidRPr="00E84DEC" w:rsidRDefault="00E84DEC">
          <w:pPr>
            <w:pStyle w:val="30"/>
            <w:rPr>
              <w:rFonts w:asciiTheme="minorHAnsi" w:eastAsiaTheme="minorEastAsia" w:hAnsiTheme="minorHAnsi" w:cstheme="minorBidi"/>
              <w:bCs w:val="0"/>
              <w:color w:val="595959" w:themeColor="text1" w:themeTint="A6"/>
              <w:lang w:eastAsia="el-GR"/>
            </w:rPr>
          </w:pPr>
          <w:hyperlink w:anchor="_Toc67401927" w:history="1">
            <w:r w:rsidRPr="00E84DEC">
              <w:rPr>
                <w:rStyle w:val="-"/>
                <w:color w:val="595959" w:themeColor="text1" w:themeTint="A6"/>
              </w:rPr>
              <w:t>Σύνθεση των κρατικών δαπανών στην Ελλάδα και την Ευρωζώνη</w:t>
            </w:r>
            <w:r w:rsidRPr="00E84DEC">
              <w:rPr>
                <w:webHidden/>
                <w:color w:val="595959" w:themeColor="text1" w:themeTint="A6"/>
              </w:rPr>
              <w:tab/>
            </w:r>
            <w:r w:rsidRPr="00E84DEC">
              <w:rPr>
                <w:webHidden/>
                <w:color w:val="595959" w:themeColor="text1" w:themeTint="A6"/>
              </w:rPr>
              <w:fldChar w:fldCharType="begin"/>
            </w:r>
            <w:r w:rsidRPr="00E84DEC">
              <w:rPr>
                <w:webHidden/>
                <w:color w:val="595959" w:themeColor="text1" w:themeTint="A6"/>
              </w:rPr>
              <w:instrText xml:space="preserve"> PAGEREF _Toc67401927 \h </w:instrText>
            </w:r>
            <w:r w:rsidRPr="00E84DEC">
              <w:rPr>
                <w:webHidden/>
                <w:color w:val="595959" w:themeColor="text1" w:themeTint="A6"/>
              </w:rPr>
            </w:r>
            <w:r w:rsidRPr="00E84DEC">
              <w:rPr>
                <w:webHidden/>
                <w:color w:val="595959" w:themeColor="text1" w:themeTint="A6"/>
              </w:rPr>
              <w:fldChar w:fldCharType="separate"/>
            </w:r>
            <w:r w:rsidR="006533F8">
              <w:rPr>
                <w:webHidden/>
                <w:color w:val="595959" w:themeColor="text1" w:themeTint="A6"/>
              </w:rPr>
              <w:t>44</w:t>
            </w:r>
            <w:r w:rsidRPr="00E84DEC">
              <w:rPr>
                <w:webHidden/>
                <w:color w:val="595959" w:themeColor="text1" w:themeTint="A6"/>
              </w:rPr>
              <w:fldChar w:fldCharType="end"/>
            </w:r>
          </w:hyperlink>
        </w:p>
        <w:p w14:paraId="6B8F0660" w14:textId="77777777" w:rsidR="00E84DEC" w:rsidRPr="00E84DEC" w:rsidRDefault="00E84DEC">
          <w:pPr>
            <w:pStyle w:val="20"/>
            <w:rPr>
              <w:rFonts w:asciiTheme="minorHAnsi" w:eastAsiaTheme="minorEastAsia" w:hAnsiTheme="minorHAnsi" w:cstheme="minorBidi"/>
              <w:bCs w:val="0"/>
              <w:lang w:eastAsia="el-GR"/>
            </w:rPr>
          </w:pPr>
          <w:hyperlink w:anchor="_Toc67401928" w:history="1">
            <w:r w:rsidRPr="00E84DEC">
              <w:rPr>
                <w:rStyle w:val="-"/>
                <w:color w:val="595959" w:themeColor="text1" w:themeTint="A6"/>
              </w:rPr>
              <w:t>3.4. Τράπεζες</w:t>
            </w:r>
            <w:r w:rsidRPr="00E84DEC">
              <w:rPr>
                <w:webHidden/>
              </w:rPr>
              <w:tab/>
            </w:r>
            <w:r w:rsidRPr="00E84DEC">
              <w:rPr>
                <w:webHidden/>
              </w:rPr>
              <w:fldChar w:fldCharType="begin"/>
            </w:r>
            <w:r w:rsidRPr="00E84DEC">
              <w:rPr>
                <w:webHidden/>
              </w:rPr>
              <w:instrText xml:space="preserve"> PAGEREF _Toc67401928 \h </w:instrText>
            </w:r>
            <w:r w:rsidRPr="00E84DEC">
              <w:rPr>
                <w:webHidden/>
              </w:rPr>
            </w:r>
            <w:r w:rsidRPr="00E84DEC">
              <w:rPr>
                <w:webHidden/>
              </w:rPr>
              <w:fldChar w:fldCharType="separate"/>
            </w:r>
            <w:r w:rsidR="006533F8">
              <w:rPr>
                <w:webHidden/>
              </w:rPr>
              <w:t>46</w:t>
            </w:r>
            <w:r w:rsidRPr="00E84DEC">
              <w:rPr>
                <w:webHidden/>
              </w:rPr>
              <w:fldChar w:fldCharType="end"/>
            </w:r>
          </w:hyperlink>
        </w:p>
        <w:p w14:paraId="68F473DA" w14:textId="77777777" w:rsidR="00E84DEC" w:rsidRDefault="00E84DEC">
          <w:pPr>
            <w:pStyle w:val="20"/>
            <w:rPr>
              <w:rFonts w:asciiTheme="minorHAnsi" w:eastAsiaTheme="minorEastAsia" w:hAnsiTheme="minorHAnsi" w:cstheme="minorBidi"/>
              <w:bCs w:val="0"/>
              <w:color w:val="auto"/>
              <w:lang w:eastAsia="el-GR"/>
            </w:rPr>
          </w:pPr>
          <w:hyperlink w:anchor="_Toc67401929" w:history="1">
            <w:r w:rsidRPr="00E84DEC">
              <w:rPr>
                <w:rStyle w:val="-"/>
                <w:color w:val="595959" w:themeColor="text1" w:themeTint="A6"/>
              </w:rPr>
              <w:t>3.5. Αποκρατικοποιήσεις</w:t>
            </w:r>
            <w:r w:rsidRPr="00E84DEC">
              <w:rPr>
                <w:webHidden/>
              </w:rPr>
              <w:tab/>
            </w:r>
            <w:r w:rsidRPr="00E84DEC">
              <w:rPr>
                <w:webHidden/>
              </w:rPr>
              <w:fldChar w:fldCharType="begin"/>
            </w:r>
            <w:r w:rsidRPr="00E84DEC">
              <w:rPr>
                <w:webHidden/>
              </w:rPr>
              <w:instrText xml:space="preserve"> PAGEREF _Toc67401929 \h </w:instrText>
            </w:r>
            <w:r w:rsidRPr="00E84DEC">
              <w:rPr>
                <w:webHidden/>
              </w:rPr>
            </w:r>
            <w:r w:rsidRPr="00E84DEC">
              <w:rPr>
                <w:webHidden/>
              </w:rPr>
              <w:fldChar w:fldCharType="separate"/>
            </w:r>
            <w:r w:rsidR="006533F8">
              <w:rPr>
                <w:webHidden/>
              </w:rPr>
              <w:t>47</w:t>
            </w:r>
            <w:r w:rsidRPr="00E84DEC">
              <w:rPr>
                <w:webHidden/>
              </w:rPr>
              <w:fldChar w:fldCharType="end"/>
            </w:r>
          </w:hyperlink>
        </w:p>
        <w:p w14:paraId="5922F555" w14:textId="77777777" w:rsidR="00A029EA" w:rsidRPr="009D66A4" w:rsidRDefault="000861AC" w:rsidP="00481B33">
          <w:pPr>
            <w:spacing w:after="0" w:line="240" w:lineRule="auto"/>
            <w:jc w:val="both"/>
            <w:rPr>
              <w:b/>
              <w:color w:val="595959" w:themeColor="text1" w:themeTint="A6"/>
            </w:rPr>
          </w:pPr>
          <w:r w:rsidRPr="009D66A4">
            <w:rPr>
              <w:rFonts w:cs="Calibri"/>
              <w:color w:val="595959" w:themeColor="text1" w:themeTint="A6"/>
              <w:lang w:bidi="he-IL"/>
            </w:rPr>
            <w:fldChar w:fldCharType="end"/>
          </w:r>
          <w:r w:rsidR="00CB2C82" w:rsidRPr="009D66A4">
            <w:rPr>
              <w:b/>
              <w:color w:val="595959" w:themeColor="text1" w:themeTint="A6"/>
            </w:rPr>
            <w:t xml:space="preserve"> </w:t>
          </w:r>
        </w:p>
      </w:sdtContent>
    </w:sdt>
    <w:p w14:paraId="2D2AA369" w14:textId="77777777" w:rsidR="00B65A75" w:rsidRPr="009D66A4" w:rsidRDefault="00B65A75" w:rsidP="00481B33">
      <w:pPr>
        <w:spacing w:after="0" w:line="240" w:lineRule="auto"/>
        <w:rPr>
          <w:b/>
          <w:color w:val="595959" w:themeColor="text1" w:themeTint="A6"/>
        </w:rPr>
      </w:pPr>
    </w:p>
    <w:p w14:paraId="57CBAB57" w14:textId="77777777" w:rsidR="00F42785" w:rsidRPr="009D66A4" w:rsidRDefault="00F42785" w:rsidP="00481B33">
      <w:pPr>
        <w:spacing w:line="240" w:lineRule="auto"/>
        <w:rPr>
          <w:color w:val="595959" w:themeColor="text1" w:themeTint="A6"/>
          <w:lang w:bidi="he-IL"/>
        </w:rPr>
      </w:pPr>
      <w:r w:rsidRPr="009D66A4">
        <w:rPr>
          <w:b/>
          <w:color w:val="595959" w:themeColor="text1" w:themeTint="A6"/>
        </w:rPr>
        <w:t>Ευρετήριο πινάκων</w:t>
      </w:r>
    </w:p>
    <w:p w14:paraId="028C12C3" w14:textId="77777777" w:rsidR="0096217C" w:rsidRPr="0096217C" w:rsidRDefault="000861AC">
      <w:pPr>
        <w:pStyle w:val="af"/>
        <w:tabs>
          <w:tab w:val="right" w:leader="dot" w:pos="8296"/>
        </w:tabs>
        <w:rPr>
          <w:rFonts w:eastAsiaTheme="minorEastAsia"/>
          <w:noProof/>
          <w:color w:val="595959" w:themeColor="text1" w:themeTint="A6"/>
          <w:lang w:eastAsia="el-GR"/>
        </w:rPr>
      </w:pPr>
      <w:r w:rsidRPr="009D66A4">
        <w:rPr>
          <w:rFonts w:cs="Calibri"/>
          <w:color w:val="595959" w:themeColor="text1" w:themeTint="A6"/>
          <w:lang w:bidi="he-IL"/>
        </w:rPr>
        <w:fldChar w:fldCharType="begin"/>
      </w:r>
      <w:r w:rsidR="00C16ED5" w:rsidRPr="009D66A4">
        <w:rPr>
          <w:rFonts w:cs="Calibri"/>
          <w:color w:val="595959" w:themeColor="text1" w:themeTint="A6"/>
          <w:lang w:bidi="he-IL"/>
        </w:rPr>
        <w:instrText xml:space="preserve"> TOC \h \z \c "Πίνακας" </w:instrText>
      </w:r>
      <w:r w:rsidRPr="009D66A4">
        <w:rPr>
          <w:rFonts w:cs="Calibri"/>
          <w:color w:val="595959" w:themeColor="text1" w:themeTint="A6"/>
          <w:lang w:bidi="he-IL"/>
        </w:rPr>
        <w:fldChar w:fldCharType="separate"/>
      </w:r>
      <w:hyperlink w:anchor="_Toc67396680" w:history="1">
        <w:r w:rsidR="0096217C" w:rsidRPr="0096217C">
          <w:rPr>
            <w:rStyle w:val="-"/>
            <w:noProof/>
            <w:color w:val="595959" w:themeColor="text1" w:themeTint="A6"/>
          </w:rPr>
          <w:t>Πίνακας 1 ΑΕΠ και συνιστώσες, ποσοστιαίες μεταβολές (%)</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_Toc67396680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14</w:t>
        </w:r>
        <w:r w:rsidR="0096217C" w:rsidRPr="0096217C">
          <w:rPr>
            <w:noProof/>
            <w:webHidden/>
            <w:color w:val="595959" w:themeColor="text1" w:themeTint="A6"/>
          </w:rPr>
          <w:fldChar w:fldCharType="end"/>
        </w:r>
      </w:hyperlink>
    </w:p>
    <w:p w14:paraId="52B86A7A"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1" w:history="1">
        <w:r w:rsidR="0096217C" w:rsidRPr="0096217C">
          <w:rPr>
            <w:rStyle w:val="-"/>
            <w:noProof/>
            <w:color w:val="595959" w:themeColor="text1" w:themeTint="A6"/>
          </w:rPr>
          <w:t>Πίνακας 2 Έκτακτες δημοσιονομικές παρεμβάσεις 2020-21(σε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_Toc67396681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16</w:t>
        </w:r>
        <w:r w:rsidR="0096217C" w:rsidRPr="0096217C">
          <w:rPr>
            <w:noProof/>
            <w:webHidden/>
            <w:color w:val="595959" w:themeColor="text1" w:themeTint="A6"/>
          </w:rPr>
          <w:fldChar w:fldCharType="end"/>
        </w:r>
      </w:hyperlink>
    </w:p>
    <w:p w14:paraId="07D9A78A"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2" w:history="1">
        <w:r w:rsidR="0096217C" w:rsidRPr="0096217C">
          <w:rPr>
            <w:rStyle w:val="-"/>
            <w:noProof/>
            <w:color w:val="595959" w:themeColor="text1" w:themeTint="A6"/>
          </w:rPr>
          <w:t>Πίνακας 3 Εκτέλεση Προϋπολογισμού Γενικής Κυβέρνησης Ιανουαρίου – Δεκεμβρίου,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_Toc67396682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26</w:t>
        </w:r>
        <w:r w:rsidR="0096217C" w:rsidRPr="0096217C">
          <w:rPr>
            <w:noProof/>
            <w:webHidden/>
            <w:color w:val="595959" w:themeColor="text1" w:themeTint="A6"/>
          </w:rPr>
          <w:fldChar w:fldCharType="end"/>
        </w:r>
      </w:hyperlink>
    </w:p>
    <w:p w14:paraId="43FCFBC0"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3" w:history="1">
        <w:r w:rsidR="0096217C" w:rsidRPr="0096217C">
          <w:rPr>
            <w:rStyle w:val="-"/>
            <w:noProof/>
            <w:color w:val="595959" w:themeColor="text1" w:themeTint="A6"/>
          </w:rPr>
          <w:t>Πίνακας 4 Κατανομή πλήθους οφειλετών με χρέη προς τη Φορολογική Διοίκηση</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_Toc67396683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32</w:t>
        </w:r>
        <w:r w:rsidR="0096217C" w:rsidRPr="0096217C">
          <w:rPr>
            <w:noProof/>
            <w:webHidden/>
            <w:color w:val="595959" w:themeColor="text1" w:themeTint="A6"/>
          </w:rPr>
          <w:fldChar w:fldCharType="end"/>
        </w:r>
      </w:hyperlink>
    </w:p>
    <w:p w14:paraId="5B52CB71"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4" w:history="1">
        <w:r w:rsidR="0096217C" w:rsidRPr="0096217C">
          <w:rPr>
            <w:rStyle w:val="-"/>
            <w:noProof/>
            <w:color w:val="595959" w:themeColor="text1" w:themeTint="A6"/>
          </w:rPr>
          <w:t>Πίνακας 5 Κατανομή ληξιπρόθεσμων οφειλών προς τη Φορολογική Διοίκηση,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_Toc67396684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32</w:t>
        </w:r>
        <w:r w:rsidR="0096217C" w:rsidRPr="0096217C">
          <w:rPr>
            <w:noProof/>
            <w:webHidden/>
            <w:color w:val="595959" w:themeColor="text1" w:themeTint="A6"/>
          </w:rPr>
          <w:fldChar w:fldCharType="end"/>
        </w:r>
      </w:hyperlink>
    </w:p>
    <w:p w14:paraId="12538DF6"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5" w:history="1">
        <w:r w:rsidR="0096217C" w:rsidRPr="0096217C">
          <w:rPr>
            <w:rStyle w:val="-"/>
            <w:noProof/>
            <w:color w:val="595959" w:themeColor="text1" w:themeTint="A6"/>
          </w:rPr>
          <w:t>Πίνακας 6 Κατανομή πλήθους μητρώων οφειλετών με χρέη προς τους Φορείς Κοινωνικής Ασφάλισης</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_Toc67396685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33</w:t>
        </w:r>
        <w:r w:rsidR="0096217C" w:rsidRPr="0096217C">
          <w:rPr>
            <w:noProof/>
            <w:webHidden/>
            <w:color w:val="595959" w:themeColor="text1" w:themeTint="A6"/>
          </w:rPr>
          <w:fldChar w:fldCharType="end"/>
        </w:r>
      </w:hyperlink>
    </w:p>
    <w:p w14:paraId="2A79DD07"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6" w:history="1">
        <w:r w:rsidR="0096217C" w:rsidRPr="0096217C">
          <w:rPr>
            <w:rStyle w:val="-"/>
            <w:noProof/>
            <w:color w:val="595959" w:themeColor="text1" w:themeTint="A6"/>
          </w:rPr>
          <w:t>Πίνακας 7 Κατανομή κύριων οφειλών προς τους Φορείς Κοινωνικής Ασφάλισης,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_Toc67396686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34</w:t>
        </w:r>
        <w:r w:rsidR="0096217C" w:rsidRPr="0096217C">
          <w:rPr>
            <w:noProof/>
            <w:webHidden/>
            <w:color w:val="595959" w:themeColor="text1" w:themeTint="A6"/>
          </w:rPr>
          <w:fldChar w:fldCharType="end"/>
        </w:r>
      </w:hyperlink>
    </w:p>
    <w:p w14:paraId="20211409"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7" w:history="1">
        <w:r w:rsidR="0096217C" w:rsidRPr="0096217C">
          <w:rPr>
            <w:rStyle w:val="-"/>
            <w:noProof/>
            <w:color w:val="595959" w:themeColor="text1" w:themeTint="A6"/>
          </w:rPr>
          <w:t>Πίνακας 8 Εκτέλεση προϋπολογισμού κοινωνικής ασφάλισης, Ιανουάριος – Δεκέμβριος 2020,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_Toc67396687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39</w:t>
        </w:r>
        <w:r w:rsidR="0096217C" w:rsidRPr="0096217C">
          <w:rPr>
            <w:noProof/>
            <w:webHidden/>
            <w:color w:val="595959" w:themeColor="text1" w:themeTint="A6"/>
          </w:rPr>
          <w:fldChar w:fldCharType="end"/>
        </w:r>
      </w:hyperlink>
    </w:p>
    <w:p w14:paraId="300A637B"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8" w:history="1">
        <w:r w:rsidR="0096217C" w:rsidRPr="0096217C">
          <w:rPr>
            <w:rStyle w:val="-"/>
            <w:noProof/>
            <w:color w:val="595959" w:themeColor="text1" w:themeTint="A6"/>
          </w:rPr>
          <w:t>Πίνακας 9</w:t>
        </w:r>
        <w:r w:rsidR="0096217C" w:rsidRPr="0096217C">
          <w:rPr>
            <w:rStyle w:val="-"/>
            <w:rFonts w:ascii="Calibri" w:eastAsia="Calibri" w:hAnsi="Calibri" w:cs="Times New Roman"/>
            <w:noProof/>
            <w:color w:val="595959" w:themeColor="text1" w:themeTint="A6"/>
          </w:rPr>
          <w:t xml:space="preserve"> Αριθμός και εκτιμώμενα ποσά εκκρεμών και ληξιπρόθεσμων αιτήσεων συνταξιοδότησης στο τέλος κάθε τρίμηνου κατά τα έτη 2019-2020 (ποσά σε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_Toc67396688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40</w:t>
        </w:r>
        <w:r w:rsidR="0096217C" w:rsidRPr="0096217C">
          <w:rPr>
            <w:noProof/>
            <w:webHidden/>
            <w:color w:val="595959" w:themeColor="text1" w:themeTint="A6"/>
          </w:rPr>
          <w:fldChar w:fldCharType="end"/>
        </w:r>
      </w:hyperlink>
    </w:p>
    <w:p w14:paraId="199720BB"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89" w:history="1">
        <w:r w:rsidR="0096217C" w:rsidRPr="0096217C">
          <w:rPr>
            <w:rStyle w:val="-"/>
            <w:noProof/>
            <w:color w:val="595959" w:themeColor="text1" w:themeTint="A6"/>
          </w:rPr>
          <w:t>Πίνακας 10 Δαπάνη καταβολής επιδομάτων ΟΠΕΚΑ, Ιανουάριος – Δεκέμβριος 2020, σε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_Toc67396689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41</w:t>
        </w:r>
        <w:r w:rsidR="0096217C" w:rsidRPr="0096217C">
          <w:rPr>
            <w:noProof/>
            <w:webHidden/>
            <w:color w:val="595959" w:themeColor="text1" w:themeTint="A6"/>
          </w:rPr>
          <w:fldChar w:fldCharType="end"/>
        </w:r>
      </w:hyperlink>
    </w:p>
    <w:p w14:paraId="55CF5E81" w14:textId="77777777" w:rsidR="0096217C" w:rsidRDefault="00AE505C">
      <w:pPr>
        <w:pStyle w:val="af"/>
        <w:tabs>
          <w:tab w:val="right" w:leader="dot" w:pos="8296"/>
        </w:tabs>
        <w:rPr>
          <w:rFonts w:eastAsiaTheme="minorEastAsia"/>
          <w:noProof/>
          <w:lang w:eastAsia="el-GR"/>
        </w:rPr>
      </w:pPr>
      <w:hyperlink w:anchor="_Toc67396690" w:history="1">
        <w:r w:rsidR="0096217C" w:rsidRPr="0096217C">
          <w:rPr>
            <w:rStyle w:val="-"/>
            <w:noProof/>
            <w:color w:val="595959" w:themeColor="text1" w:themeTint="A6"/>
          </w:rPr>
          <w:t>Πίνακας 11 Αριθμός δικαιούχων επιδομάτων ΟΠΕΚΑ, Ιανουάριος – Δεκέμβριος 2020</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_Toc67396690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42</w:t>
        </w:r>
        <w:r w:rsidR="0096217C" w:rsidRPr="0096217C">
          <w:rPr>
            <w:noProof/>
            <w:webHidden/>
            <w:color w:val="595959" w:themeColor="text1" w:themeTint="A6"/>
          </w:rPr>
          <w:fldChar w:fldCharType="end"/>
        </w:r>
      </w:hyperlink>
    </w:p>
    <w:p w14:paraId="5A76065E" w14:textId="77777777" w:rsidR="00DF16C7" w:rsidRPr="009D66A4" w:rsidRDefault="000861AC" w:rsidP="00481B33">
      <w:pPr>
        <w:pStyle w:val="af"/>
        <w:tabs>
          <w:tab w:val="right" w:leader="dot" w:pos="8296"/>
        </w:tabs>
        <w:spacing w:line="240" w:lineRule="auto"/>
        <w:jc w:val="both"/>
        <w:rPr>
          <w:color w:val="595959" w:themeColor="text1" w:themeTint="A6"/>
        </w:rPr>
      </w:pPr>
      <w:r w:rsidRPr="009D66A4">
        <w:rPr>
          <w:rFonts w:cs="Calibri"/>
          <w:color w:val="595959" w:themeColor="text1" w:themeTint="A6"/>
          <w:lang w:bidi="he-IL"/>
        </w:rPr>
        <w:fldChar w:fldCharType="end"/>
      </w:r>
    </w:p>
    <w:p w14:paraId="7CDF355D" w14:textId="77777777" w:rsidR="0059690B" w:rsidRPr="009D66A4" w:rsidRDefault="00EE7860" w:rsidP="00481B33">
      <w:pPr>
        <w:spacing w:after="0" w:line="240" w:lineRule="auto"/>
        <w:jc w:val="both"/>
        <w:rPr>
          <w:b/>
          <w:color w:val="595959" w:themeColor="text1" w:themeTint="A6"/>
          <w:lang w:val="en-US"/>
        </w:rPr>
      </w:pPr>
      <w:r w:rsidRPr="009D66A4">
        <w:rPr>
          <w:b/>
          <w:color w:val="595959" w:themeColor="text1" w:themeTint="A6"/>
        </w:rPr>
        <w:t>Ευρετήριο διαγραμμάτων</w:t>
      </w:r>
    </w:p>
    <w:p w14:paraId="1A0F1C3C" w14:textId="77777777" w:rsidR="00D735D7" w:rsidRPr="009D66A4" w:rsidRDefault="00D735D7" w:rsidP="00481B33">
      <w:pPr>
        <w:spacing w:after="0" w:line="240" w:lineRule="auto"/>
        <w:jc w:val="both"/>
        <w:rPr>
          <w:b/>
          <w:color w:val="595959" w:themeColor="text1" w:themeTint="A6"/>
          <w:lang w:val="en-US"/>
        </w:rPr>
      </w:pPr>
    </w:p>
    <w:p w14:paraId="3CAF5CCD" w14:textId="77777777" w:rsidR="0096217C" w:rsidRPr="0096217C" w:rsidRDefault="000861AC">
      <w:pPr>
        <w:pStyle w:val="af"/>
        <w:tabs>
          <w:tab w:val="right" w:leader="dot" w:pos="8296"/>
        </w:tabs>
        <w:rPr>
          <w:rFonts w:eastAsiaTheme="minorEastAsia"/>
          <w:noProof/>
          <w:color w:val="595959" w:themeColor="text1" w:themeTint="A6"/>
          <w:lang w:eastAsia="el-GR"/>
        </w:rPr>
      </w:pPr>
      <w:r w:rsidRPr="00335FCF">
        <w:rPr>
          <w:rFonts w:cs="Calibri"/>
          <w:color w:val="595959" w:themeColor="text1" w:themeTint="A6"/>
          <w:lang w:bidi="he-IL"/>
        </w:rPr>
        <w:fldChar w:fldCharType="begin"/>
      </w:r>
      <w:r w:rsidR="00C16ED5" w:rsidRPr="00335FCF">
        <w:rPr>
          <w:rFonts w:cs="Calibri"/>
          <w:color w:val="595959" w:themeColor="text1" w:themeTint="A6"/>
          <w:lang w:bidi="he-IL"/>
        </w:rPr>
        <w:instrText xml:space="preserve"> TOC \h \z \c "Διάγραμμα" </w:instrText>
      </w:r>
      <w:r w:rsidRPr="00335FCF">
        <w:rPr>
          <w:rFonts w:cs="Calibri"/>
          <w:color w:val="595959" w:themeColor="text1" w:themeTint="A6"/>
          <w:lang w:bidi="he-IL"/>
        </w:rPr>
        <w:fldChar w:fldCharType="separate"/>
      </w:r>
      <w:hyperlink w:anchor="_Toc67396691" w:history="1">
        <w:r w:rsidR="0096217C" w:rsidRPr="0096217C">
          <w:rPr>
            <w:rStyle w:val="-"/>
            <w:noProof/>
            <w:color w:val="595959" w:themeColor="text1" w:themeTint="A6"/>
          </w:rPr>
          <w:t>Διάγραμμα 1 Δείκτης αβεβαιότητας διεθνούς οικονομικής πολιτικής (GEPU)</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_Toc67396691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12</w:t>
        </w:r>
        <w:r w:rsidR="0096217C" w:rsidRPr="0096217C">
          <w:rPr>
            <w:noProof/>
            <w:webHidden/>
            <w:color w:val="595959" w:themeColor="text1" w:themeTint="A6"/>
          </w:rPr>
          <w:fldChar w:fldCharType="end"/>
        </w:r>
      </w:hyperlink>
    </w:p>
    <w:p w14:paraId="2E8809ED"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2" w:history="1">
        <w:r w:rsidR="0096217C" w:rsidRPr="0096217C">
          <w:rPr>
            <w:rStyle w:val="-"/>
            <w:noProof/>
            <w:color w:val="595959" w:themeColor="text1" w:themeTint="A6"/>
          </w:rPr>
          <w:t>Διάγραμμα 2 Τριμηνιαία επίπεδα του ΑΕΠ και των βασικών συνιστωσών σε εποχικά διορθωμένους όρους και σταθερές τιμές 2015</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_Toc67396692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18</w:t>
        </w:r>
        <w:r w:rsidR="0096217C" w:rsidRPr="0096217C">
          <w:rPr>
            <w:noProof/>
            <w:webHidden/>
            <w:color w:val="595959" w:themeColor="text1" w:themeTint="A6"/>
          </w:rPr>
          <w:fldChar w:fldCharType="end"/>
        </w:r>
      </w:hyperlink>
    </w:p>
    <w:p w14:paraId="33F1A0B1"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3" w:history="1">
        <w:r w:rsidR="0096217C" w:rsidRPr="0096217C">
          <w:rPr>
            <w:rStyle w:val="-"/>
            <w:noProof/>
            <w:color w:val="595959" w:themeColor="text1" w:themeTint="A6"/>
          </w:rPr>
          <w:t>Διάγραμμα 3 Πληθωρισμός εναρμονισμένου δείκτη και "πυρήνας" πληθωρισμού</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_Toc67396693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20</w:t>
        </w:r>
        <w:r w:rsidR="0096217C" w:rsidRPr="0096217C">
          <w:rPr>
            <w:noProof/>
            <w:webHidden/>
            <w:color w:val="595959" w:themeColor="text1" w:themeTint="A6"/>
          </w:rPr>
          <w:fldChar w:fldCharType="end"/>
        </w:r>
      </w:hyperlink>
    </w:p>
    <w:p w14:paraId="57AE66BD"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4" w:history="1">
        <w:r w:rsidR="0096217C" w:rsidRPr="0096217C">
          <w:rPr>
            <w:rStyle w:val="-"/>
            <w:noProof/>
            <w:color w:val="595959" w:themeColor="text1" w:themeTint="A6"/>
          </w:rPr>
          <w:t>Διάγραμμα 4 Ισοζύγιο τρεχουσών συναλλαγών Ιανουαρίου-Δεκεμβρίου,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_Toc67396694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21</w:t>
        </w:r>
        <w:r w:rsidR="0096217C" w:rsidRPr="0096217C">
          <w:rPr>
            <w:noProof/>
            <w:webHidden/>
            <w:color w:val="595959" w:themeColor="text1" w:themeTint="A6"/>
          </w:rPr>
          <w:fldChar w:fldCharType="end"/>
        </w:r>
      </w:hyperlink>
    </w:p>
    <w:p w14:paraId="58A84297"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5" w:history="1">
        <w:r w:rsidR="0096217C" w:rsidRPr="0096217C">
          <w:rPr>
            <w:rStyle w:val="-"/>
            <w:noProof/>
            <w:color w:val="595959" w:themeColor="text1" w:themeTint="A6"/>
          </w:rPr>
          <w:t>Διάγραμμα 5 Ποσοστό ανεργίας, Ελλάδα και Ευρωζώνη</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_Toc67396695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22</w:t>
        </w:r>
        <w:r w:rsidR="0096217C" w:rsidRPr="0096217C">
          <w:rPr>
            <w:noProof/>
            <w:webHidden/>
            <w:color w:val="595959" w:themeColor="text1" w:themeTint="A6"/>
          </w:rPr>
          <w:fldChar w:fldCharType="end"/>
        </w:r>
      </w:hyperlink>
    </w:p>
    <w:p w14:paraId="4A0F8434"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6" w:history="1">
        <w:r w:rsidR="0096217C" w:rsidRPr="0096217C">
          <w:rPr>
            <w:rStyle w:val="-"/>
            <w:noProof/>
            <w:color w:val="595959" w:themeColor="text1" w:themeTint="A6"/>
          </w:rPr>
          <w:t>Διάγραμμα 6 Ληξιπρόθεσμες υποχρεώσεις Γενικής Κυβέρνησης,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_Toc67396696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29</w:t>
        </w:r>
        <w:r w:rsidR="0096217C" w:rsidRPr="0096217C">
          <w:rPr>
            <w:noProof/>
            <w:webHidden/>
            <w:color w:val="595959" w:themeColor="text1" w:themeTint="A6"/>
          </w:rPr>
          <w:fldChar w:fldCharType="end"/>
        </w:r>
      </w:hyperlink>
    </w:p>
    <w:p w14:paraId="504FA791"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7" w:history="1">
        <w:r w:rsidR="0096217C" w:rsidRPr="0096217C">
          <w:rPr>
            <w:rStyle w:val="-"/>
            <w:noProof/>
            <w:color w:val="595959" w:themeColor="text1" w:themeTint="A6"/>
          </w:rPr>
          <w:t>Διάγραμμα 7 Ληξιπρόθεσμες υποχρεώσεις φο</w:t>
        </w:r>
        <w:bookmarkStart w:id="3" w:name="_GoBack"/>
        <w:bookmarkEnd w:id="3"/>
        <w:r w:rsidR="0096217C" w:rsidRPr="0096217C">
          <w:rPr>
            <w:rStyle w:val="-"/>
            <w:noProof/>
            <w:color w:val="595959" w:themeColor="text1" w:themeTint="A6"/>
          </w:rPr>
          <w:t>ρολογούμενων,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_Toc67396697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30</w:t>
        </w:r>
        <w:r w:rsidR="0096217C" w:rsidRPr="0096217C">
          <w:rPr>
            <w:noProof/>
            <w:webHidden/>
            <w:color w:val="595959" w:themeColor="text1" w:themeTint="A6"/>
          </w:rPr>
          <w:fldChar w:fldCharType="end"/>
        </w:r>
      </w:hyperlink>
    </w:p>
    <w:p w14:paraId="1ADC3600"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8" w:history="1">
        <w:r w:rsidR="0096217C" w:rsidRPr="0096217C">
          <w:rPr>
            <w:rStyle w:val="-"/>
            <w:noProof/>
            <w:color w:val="595959" w:themeColor="text1" w:themeTint="A6"/>
          </w:rPr>
          <w:t>Διάγραμμα 8 Εισπράξεις-διαγραφές και νέα ληξιπρόθεσμα, σε εκατ.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_Toc67396698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31</w:t>
        </w:r>
        <w:r w:rsidR="0096217C" w:rsidRPr="0096217C">
          <w:rPr>
            <w:noProof/>
            <w:webHidden/>
            <w:color w:val="595959" w:themeColor="text1" w:themeTint="A6"/>
          </w:rPr>
          <w:fldChar w:fldCharType="end"/>
        </w:r>
      </w:hyperlink>
    </w:p>
    <w:p w14:paraId="0D106D0E"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699" w:history="1">
        <w:r w:rsidR="0096217C" w:rsidRPr="0096217C">
          <w:rPr>
            <w:rStyle w:val="-"/>
            <w:noProof/>
            <w:color w:val="595959" w:themeColor="text1" w:themeTint="A6"/>
          </w:rPr>
          <w:t>Διάγραμμα 9 Αποδόσεις δεκαετών ομολόγων</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_Toc67396699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35</w:t>
        </w:r>
        <w:r w:rsidR="0096217C" w:rsidRPr="0096217C">
          <w:rPr>
            <w:noProof/>
            <w:webHidden/>
            <w:color w:val="595959" w:themeColor="text1" w:themeTint="A6"/>
          </w:rPr>
          <w:fldChar w:fldCharType="end"/>
        </w:r>
      </w:hyperlink>
    </w:p>
    <w:p w14:paraId="4A345766"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700" w:history="1">
        <w:r w:rsidR="0096217C" w:rsidRPr="0096217C">
          <w:rPr>
            <w:rStyle w:val="-"/>
            <w:noProof/>
            <w:color w:val="595959" w:themeColor="text1" w:themeTint="A6"/>
          </w:rPr>
          <w:t>Διάγραμμα 10 Κοινωνικές Δαπάνες στις χώρες της Ευρωζώνης ως % του ΑΕΠ το 2019</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_Toc67396700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43</w:t>
        </w:r>
        <w:r w:rsidR="0096217C" w:rsidRPr="0096217C">
          <w:rPr>
            <w:noProof/>
            <w:webHidden/>
            <w:color w:val="595959" w:themeColor="text1" w:themeTint="A6"/>
          </w:rPr>
          <w:fldChar w:fldCharType="end"/>
        </w:r>
      </w:hyperlink>
    </w:p>
    <w:p w14:paraId="5509CF6D" w14:textId="77777777" w:rsidR="0096217C" w:rsidRDefault="00AE505C">
      <w:pPr>
        <w:pStyle w:val="af"/>
        <w:tabs>
          <w:tab w:val="right" w:leader="dot" w:pos="8296"/>
        </w:tabs>
        <w:rPr>
          <w:rFonts w:eastAsiaTheme="minorEastAsia"/>
          <w:noProof/>
          <w:lang w:eastAsia="el-GR"/>
        </w:rPr>
      </w:pPr>
      <w:hyperlink w:anchor="_Toc67396701" w:history="1">
        <w:r w:rsidR="0096217C" w:rsidRPr="0096217C">
          <w:rPr>
            <w:rStyle w:val="-"/>
            <w:noProof/>
            <w:color w:val="595959" w:themeColor="text1" w:themeTint="A6"/>
          </w:rPr>
          <w:t>Διάγραμμα 11 Ελλάδα-Ευρωζώνη: Κοινωνικές Δαπάνες ως % του ΑΕΠ, 2010-2019</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_Toc67396701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44</w:t>
        </w:r>
        <w:r w:rsidR="0096217C" w:rsidRPr="0096217C">
          <w:rPr>
            <w:noProof/>
            <w:webHidden/>
            <w:color w:val="595959" w:themeColor="text1" w:themeTint="A6"/>
          </w:rPr>
          <w:fldChar w:fldCharType="end"/>
        </w:r>
      </w:hyperlink>
    </w:p>
    <w:p w14:paraId="74676D99"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702" w:history="1">
        <w:r w:rsidR="0096217C" w:rsidRPr="0096217C">
          <w:rPr>
            <w:rStyle w:val="-"/>
            <w:noProof/>
            <w:color w:val="595959" w:themeColor="text1" w:themeTint="A6"/>
          </w:rPr>
          <w:t>Διάγραμμα 12 Ελλάδα-Ευρωζώνη: Δαπάνες Κοινωνικής Προστασίας ως % του ΑΕΠ, 2010-2019</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_Toc67396702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44</w:t>
        </w:r>
        <w:r w:rsidR="0096217C" w:rsidRPr="0096217C">
          <w:rPr>
            <w:noProof/>
            <w:webHidden/>
            <w:color w:val="595959" w:themeColor="text1" w:themeTint="A6"/>
          </w:rPr>
          <w:fldChar w:fldCharType="end"/>
        </w:r>
      </w:hyperlink>
    </w:p>
    <w:p w14:paraId="3EE48117" w14:textId="77777777" w:rsidR="0096217C" w:rsidRPr="0096217C" w:rsidRDefault="00AE505C">
      <w:pPr>
        <w:pStyle w:val="af"/>
        <w:tabs>
          <w:tab w:val="right" w:leader="dot" w:pos="8296"/>
        </w:tabs>
        <w:rPr>
          <w:rFonts w:eastAsiaTheme="minorEastAsia"/>
          <w:noProof/>
          <w:color w:val="595959" w:themeColor="text1" w:themeTint="A6"/>
          <w:lang w:eastAsia="el-GR"/>
        </w:rPr>
      </w:pPr>
      <w:hyperlink w:anchor="_Toc67396703" w:history="1">
        <w:r w:rsidR="0096217C" w:rsidRPr="0096217C">
          <w:rPr>
            <w:rStyle w:val="-"/>
            <w:noProof/>
            <w:color w:val="595959" w:themeColor="text1" w:themeTint="A6"/>
          </w:rPr>
          <w:t>Διάγραμμα 13 Εξέλιξη μη εξυπηρετούμενων δανείων, σε δις ευρώ</w:t>
        </w:r>
        <w:r w:rsidR="0096217C" w:rsidRPr="0096217C">
          <w:rPr>
            <w:noProof/>
            <w:webHidden/>
            <w:color w:val="595959" w:themeColor="text1" w:themeTint="A6"/>
          </w:rPr>
          <w:tab/>
        </w:r>
        <w:r w:rsidR="0096217C" w:rsidRPr="0096217C">
          <w:rPr>
            <w:noProof/>
            <w:webHidden/>
            <w:color w:val="595959" w:themeColor="text1" w:themeTint="A6"/>
          </w:rPr>
          <w:fldChar w:fldCharType="begin"/>
        </w:r>
        <w:r w:rsidR="0096217C" w:rsidRPr="0096217C">
          <w:rPr>
            <w:noProof/>
            <w:webHidden/>
            <w:color w:val="595959" w:themeColor="text1" w:themeTint="A6"/>
          </w:rPr>
          <w:instrText xml:space="preserve"> PAGEREF _Toc67396703 \h </w:instrText>
        </w:r>
        <w:r w:rsidR="0096217C" w:rsidRPr="0096217C">
          <w:rPr>
            <w:noProof/>
            <w:webHidden/>
            <w:color w:val="595959" w:themeColor="text1" w:themeTint="A6"/>
          </w:rPr>
        </w:r>
        <w:r w:rsidR="0096217C" w:rsidRPr="0096217C">
          <w:rPr>
            <w:noProof/>
            <w:webHidden/>
            <w:color w:val="595959" w:themeColor="text1" w:themeTint="A6"/>
          </w:rPr>
          <w:fldChar w:fldCharType="separate"/>
        </w:r>
        <w:r w:rsidR="006533F8">
          <w:rPr>
            <w:noProof/>
            <w:webHidden/>
            <w:color w:val="595959" w:themeColor="text1" w:themeTint="A6"/>
          </w:rPr>
          <w:t>46</w:t>
        </w:r>
        <w:r w:rsidR="0096217C" w:rsidRPr="0096217C">
          <w:rPr>
            <w:noProof/>
            <w:webHidden/>
            <w:color w:val="595959" w:themeColor="text1" w:themeTint="A6"/>
          </w:rPr>
          <w:fldChar w:fldCharType="end"/>
        </w:r>
      </w:hyperlink>
    </w:p>
    <w:p w14:paraId="730397FC" w14:textId="2598A29B" w:rsidR="004D6364" w:rsidRPr="00C2425C" w:rsidRDefault="000861AC" w:rsidP="00C2425C">
      <w:pPr>
        <w:pStyle w:val="af"/>
        <w:tabs>
          <w:tab w:val="right" w:leader="dot" w:pos="8296"/>
        </w:tabs>
        <w:spacing w:line="240" w:lineRule="auto"/>
        <w:jc w:val="both"/>
        <w:rPr>
          <w:color w:val="595959" w:themeColor="text1" w:themeTint="A6"/>
        </w:rPr>
      </w:pPr>
      <w:r w:rsidRPr="00335FCF">
        <w:rPr>
          <w:rFonts w:cs="Calibri"/>
          <w:color w:val="595959" w:themeColor="text1" w:themeTint="A6"/>
          <w:lang w:bidi="he-IL"/>
        </w:rPr>
        <w:fldChar w:fldCharType="end"/>
      </w:r>
      <w:r w:rsidR="004D6364" w:rsidRPr="00575A7E">
        <w:rPr>
          <w:lang w:val="en-US"/>
        </w:rPr>
        <w:br w:type="page"/>
      </w:r>
    </w:p>
    <w:p w14:paraId="6BEA8BA4" w14:textId="6F2337CC" w:rsidR="00825969" w:rsidRPr="00575A7E" w:rsidRDefault="00825969" w:rsidP="003B1BE9">
      <w:pPr>
        <w:pStyle w:val="1"/>
        <w:spacing w:line="276" w:lineRule="auto"/>
      </w:pPr>
      <w:bookmarkStart w:id="4" w:name="_Toc67401890"/>
      <w:r w:rsidRPr="00575A7E">
        <w:lastRenderedPageBreak/>
        <w:t>Σύνοψη</w:t>
      </w:r>
      <w:bookmarkEnd w:id="4"/>
    </w:p>
    <w:p w14:paraId="1FFBFE67" w14:textId="77777777" w:rsidR="00825969" w:rsidRPr="00575A7E" w:rsidRDefault="00825969" w:rsidP="003B1BE9">
      <w:pPr>
        <w:spacing w:line="276" w:lineRule="auto"/>
        <w:jc w:val="both"/>
        <w:rPr>
          <w:color w:val="595959" w:themeColor="text1" w:themeTint="A6"/>
        </w:rPr>
      </w:pPr>
    </w:p>
    <w:p w14:paraId="215B7795" w14:textId="77777777"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Το 2020 η ελληνική οικονομία κατέγραψε ετήσια ύφεση 8,2%</w:t>
      </w:r>
      <w:r w:rsidR="0061220E">
        <w:rPr>
          <w:rFonts w:ascii="Calibri" w:eastAsia="Calibri" w:hAnsi="Calibri" w:cs="Times New Roman"/>
          <w:color w:val="595959" w:themeColor="text1" w:themeTint="A6"/>
        </w:rPr>
        <w:t xml:space="preserve">, έναντι 6,6% </w:t>
      </w:r>
      <w:r w:rsidR="00EC496E">
        <w:rPr>
          <w:rFonts w:ascii="Calibri" w:eastAsia="Calibri" w:hAnsi="Calibri" w:cs="Times New Roman"/>
          <w:color w:val="595959" w:themeColor="text1" w:themeTint="A6"/>
        </w:rPr>
        <w:t xml:space="preserve">στο σύνολο των χωρών της </w:t>
      </w:r>
      <w:r w:rsidRPr="00BC73D7">
        <w:rPr>
          <w:rFonts w:ascii="Calibri" w:eastAsia="Calibri" w:hAnsi="Calibri" w:cs="Times New Roman"/>
          <w:color w:val="595959" w:themeColor="text1" w:themeTint="A6"/>
        </w:rPr>
        <w:t>Ευρωζ</w:t>
      </w:r>
      <w:r w:rsidR="00EC496E">
        <w:rPr>
          <w:rFonts w:ascii="Calibri" w:eastAsia="Calibri" w:hAnsi="Calibri" w:cs="Times New Roman"/>
          <w:color w:val="595959" w:themeColor="text1" w:themeTint="A6"/>
        </w:rPr>
        <w:t>ώνης</w:t>
      </w:r>
      <w:r w:rsidRPr="00BC73D7">
        <w:rPr>
          <w:rFonts w:ascii="Calibri" w:eastAsia="Calibri" w:hAnsi="Calibri" w:cs="Times New Roman"/>
          <w:color w:val="595959" w:themeColor="text1" w:themeTint="A6"/>
        </w:rPr>
        <w:t xml:space="preserve">. Η ύφεση προήλθε κυρίως από τη </w:t>
      </w:r>
      <w:r w:rsidR="00D95FE9">
        <w:rPr>
          <w:rFonts w:ascii="Calibri" w:eastAsia="Calibri" w:hAnsi="Calibri" w:cs="Times New Roman"/>
          <w:color w:val="595959" w:themeColor="text1" w:themeTint="A6"/>
        </w:rPr>
        <w:t>μεγάλη</w:t>
      </w:r>
      <w:r w:rsidR="00D95FE9" w:rsidRPr="00BC73D7">
        <w:rPr>
          <w:rFonts w:ascii="Calibri" w:eastAsia="Calibri" w:hAnsi="Calibri" w:cs="Times New Roman"/>
          <w:color w:val="595959" w:themeColor="text1" w:themeTint="A6"/>
        </w:rPr>
        <w:t xml:space="preserve"> </w:t>
      </w:r>
      <w:r w:rsidRPr="00BC73D7">
        <w:rPr>
          <w:rFonts w:ascii="Calibri" w:eastAsia="Calibri" w:hAnsi="Calibri" w:cs="Times New Roman"/>
          <w:color w:val="595959" w:themeColor="text1" w:themeTint="A6"/>
        </w:rPr>
        <w:t>μείωση των Εξαγωγών Υπηρεσιών (-43%) και της Ιδιωτικής Κατανάλωσης (-5,2%). Παράλληλα, το Ισοζύγιο Τρεχουσών Συναλλαγών κατέγραψε σοβαρή επιδείνωση της τάξης των 8,4 δις (5,2% του ΑΕΠ) σε σχέση με το 2019</w:t>
      </w:r>
      <w:r w:rsidR="00D95FE9">
        <w:rPr>
          <w:rFonts w:ascii="Calibri" w:eastAsia="Calibri" w:hAnsi="Calibri" w:cs="Times New Roman"/>
          <w:color w:val="595959" w:themeColor="text1" w:themeTint="A6"/>
        </w:rPr>
        <w:t>,</w:t>
      </w:r>
      <w:r w:rsidRPr="00BC73D7">
        <w:rPr>
          <w:rFonts w:ascii="Calibri" w:eastAsia="Calibri" w:hAnsi="Calibri" w:cs="Times New Roman"/>
          <w:color w:val="595959" w:themeColor="text1" w:themeTint="A6"/>
        </w:rPr>
        <w:t xml:space="preserve"> ενώ ο πληθωρισμός παραμένει αρνητικός στην περιοχή του -2%. Η ανεργία</w:t>
      </w:r>
      <w:r w:rsidR="001C1DF1">
        <w:rPr>
          <w:rFonts w:ascii="Calibri" w:eastAsia="Calibri" w:hAnsi="Calibri" w:cs="Times New Roman"/>
          <w:color w:val="595959" w:themeColor="text1" w:themeTint="A6"/>
        </w:rPr>
        <w:t xml:space="preserve"> </w:t>
      </w:r>
      <w:r w:rsidRPr="00BC73D7">
        <w:rPr>
          <w:rFonts w:ascii="Calibri" w:eastAsia="Calibri" w:hAnsi="Calibri" w:cs="Times New Roman"/>
          <w:color w:val="595959" w:themeColor="text1" w:themeTint="A6"/>
        </w:rPr>
        <w:t>παραμένει σταθερή εξαιτίας των ειδικών μέτρων διατήρησης των θέσεων εργασίας και της μείωσης του εργατικού δυναμικού.</w:t>
      </w:r>
    </w:p>
    <w:p w14:paraId="4D075184" w14:textId="766ED0CA" w:rsidR="00BC73D7" w:rsidRPr="00EE3DF9"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Στα δημόσια οικονομικά, η επιδείνωση που καταγράφεται στο 2020 σε σχέση με το 2019 φτάνει τα 20,4 δις</w:t>
      </w:r>
      <w:r w:rsidR="00D95FE9">
        <w:rPr>
          <w:rFonts w:ascii="Calibri" w:eastAsia="Calibri" w:hAnsi="Calibri" w:cs="Times New Roman"/>
          <w:color w:val="595959" w:themeColor="text1" w:themeTint="A6"/>
        </w:rPr>
        <w:t>,</w:t>
      </w:r>
      <w:r w:rsidRPr="00BC73D7">
        <w:rPr>
          <w:rFonts w:ascii="Calibri" w:eastAsia="Calibri" w:hAnsi="Calibri" w:cs="Times New Roman"/>
          <w:color w:val="595959" w:themeColor="text1" w:themeTint="A6"/>
        </w:rPr>
        <w:t xml:space="preserve"> διαμορφώνοντας πρωτογενές έλλειμμα σχεδόν 14 δις ευρώ (8,4% του ΑΕΠ). Εκτιμούμε ότι το επίσημο δημοσιονομικό αποτέλεσμα θα είναι καλύτερο εξαιτίας του ειδικού τρόπου καταγραφής των έκτακτων μέτρων και ιδιαίτερα των φορολογικών αναστολών και της επιστρεπτέας προκαταβολής</w:t>
      </w:r>
      <w:r w:rsidR="00D95FE9">
        <w:rPr>
          <w:rFonts w:ascii="Calibri" w:eastAsia="Calibri" w:hAnsi="Calibri" w:cs="Times New Roman"/>
          <w:color w:val="595959" w:themeColor="text1" w:themeTint="A6"/>
        </w:rPr>
        <w:t>,</w:t>
      </w:r>
      <w:r w:rsidRPr="00BC73D7">
        <w:rPr>
          <w:rFonts w:ascii="Calibri" w:eastAsia="Calibri" w:hAnsi="Calibri" w:cs="Times New Roman"/>
          <w:color w:val="595959" w:themeColor="text1" w:themeTint="A6"/>
        </w:rPr>
        <w:t xml:space="preserve"> καθώς τα ποσά που αναμένεται να </w:t>
      </w:r>
      <w:r w:rsidRPr="00EE3DF9">
        <w:rPr>
          <w:rFonts w:ascii="Calibri" w:eastAsia="Calibri" w:hAnsi="Calibri" w:cs="Times New Roman"/>
          <w:color w:val="595959" w:themeColor="text1" w:themeTint="A6"/>
        </w:rPr>
        <w:t xml:space="preserve">επιστραφούν στο μέλλον δεν θα υπολογιστούν στο δημοσιονομικό αποτέλεσμα. Το χρέος της </w:t>
      </w:r>
      <w:r w:rsidR="00EE3DF9" w:rsidRPr="00EE3DF9">
        <w:rPr>
          <w:rFonts w:ascii="Calibri" w:eastAsia="Calibri" w:hAnsi="Calibri" w:cs="Times New Roman"/>
          <w:color w:val="595959" w:themeColor="text1" w:themeTint="A6"/>
        </w:rPr>
        <w:t xml:space="preserve">Γενικής Κυβέρνησης </w:t>
      </w:r>
      <w:r w:rsidRPr="00EE3DF9">
        <w:rPr>
          <w:rFonts w:ascii="Calibri" w:eastAsia="Calibri" w:hAnsi="Calibri" w:cs="Times New Roman"/>
          <w:color w:val="595959" w:themeColor="text1" w:themeTint="A6"/>
        </w:rPr>
        <w:t>αυξήθηκε κατά 1</w:t>
      </w:r>
      <w:r w:rsidR="00EE3DF9" w:rsidRPr="00EE3DF9">
        <w:rPr>
          <w:rFonts w:ascii="Calibri" w:eastAsia="Calibri" w:hAnsi="Calibri" w:cs="Times New Roman"/>
          <w:color w:val="595959" w:themeColor="text1" w:themeTint="A6"/>
        </w:rPr>
        <w:t>0</w:t>
      </w:r>
      <w:r w:rsidRPr="00EE3DF9">
        <w:rPr>
          <w:rFonts w:ascii="Calibri" w:eastAsia="Calibri" w:hAnsi="Calibri" w:cs="Times New Roman"/>
          <w:color w:val="595959" w:themeColor="text1" w:themeTint="A6"/>
        </w:rPr>
        <w:t xml:space="preserve"> περίπου δις φτάνοντας τα 3</w:t>
      </w:r>
      <w:r w:rsidR="00EE3DF9" w:rsidRPr="00EE3DF9">
        <w:rPr>
          <w:rFonts w:ascii="Calibri" w:eastAsia="Calibri" w:hAnsi="Calibri" w:cs="Times New Roman"/>
          <w:color w:val="595959" w:themeColor="text1" w:themeTint="A6"/>
        </w:rPr>
        <w:t>41 δις (20</w:t>
      </w:r>
      <w:r w:rsidRPr="00EE3DF9">
        <w:rPr>
          <w:rFonts w:ascii="Calibri" w:eastAsia="Calibri" w:hAnsi="Calibri" w:cs="Times New Roman"/>
          <w:color w:val="595959" w:themeColor="text1" w:themeTint="A6"/>
        </w:rPr>
        <w:t>5% του ΑΕΠ) τον Δεκέμβριο του 202</w:t>
      </w:r>
      <w:r w:rsidR="003F773A" w:rsidRPr="00EE3DF9">
        <w:rPr>
          <w:rFonts w:ascii="Calibri" w:eastAsia="Calibri" w:hAnsi="Calibri" w:cs="Times New Roman"/>
          <w:color w:val="595959" w:themeColor="text1" w:themeTint="A6"/>
        </w:rPr>
        <w:t>0</w:t>
      </w:r>
      <w:r w:rsidRPr="00EE3DF9">
        <w:rPr>
          <w:rFonts w:ascii="Calibri" w:eastAsia="Calibri" w:hAnsi="Calibri" w:cs="Times New Roman"/>
          <w:color w:val="595959" w:themeColor="text1" w:themeTint="A6"/>
        </w:rPr>
        <w:t xml:space="preserve">. </w:t>
      </w:r>
    </w:p>
    <w:p w14:paraId="1E1597D1" w14:textId="764D9F98"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 xml:space="preserve">Η επιδείνωση αυτή προέρχεται κατά κύριο λόγο από τα έκτακτα δημοσιονομικά μέτρα περίπου 14,8 δις (χωρίς τις εγγυήσεις) που πραγματοποιήθηκαν εντός του 2020 για την αντιμετώπιση της πανδημίας καθώς και από τη σημαντική μείωση του ΑΕΠ εξαιτίας της </w:t>
      </w:r>
      <w:r w:rsidR="00D95FE9">
        <w:rPr>
          <w:rFonts w:ascii="Calibri" w:eastAsia="Calibri" w:hAnsi="Calibri" w:cs="Times New Roman"/>
          <w:color w:val="595959" w:themeColor="text1" w:themeTint="A6"/>
        </w:rPr>
        <w:t>πτώσης της οικονομικής δραστηριότητας</w:t>
      </w:r>
      <w:r w:rsidR="00EE3DF9">
        <w:rPr>
          <w:rFonts w:ascii="Calibri" w:eastAsia="Calibri" w:hAnsi="Calibri" w:cs="Times New Roman"/>
          <w:color w:val="595959" w:themeColor="text1" w:themeTint="A6"/>
        </w:rPr>
        <w:t xml:space="preserve">. </w:t>
      </w:r>
      <w:r w:rsidRPr="00BC73D7">
        <w:rPr>
          <w:rFonts w:ascii="Calibri" w:eastAsia="Calibri" w:hAnsi="Calibri" w:cs="Times New Roman"/>
          <w:color w:val="595959" w:themeColor="text1" w:themeTint="A6"/>
        </w:rPr>
        <w:t xml:space="preserve">Παρά τις δυσμενείς οικονομικές και δημοσιονομικές εξελίξεις, η διεθνής πιστοληπτική ικανότητα του ελληνικού δημοσίου παραμένει ισχυρή, όπως </w:t>
      </w:r>
      <w:r w:rsidR="00EE3DF9">
        <w:rPr>
          <w:rFonts w:ascii="Calibri" w:eastAsia="Calibri" w:hAnsi="Calibri" w:cs="Times New Roman"/>
          <w:color w:val="595959" w:themeColor="text1" w:themeTint="A6"/>
        </w:rPr>
        <w:t>φάνηκε</w:t>
      </w:r>
      <w:r w:rsidRPr="00BC73D7">
        <w:rPr>
          <w:rFonts w:ascii="Calibri" w:eastAsia="Calibri" w:hAnsi="Calibri" w:cs="Times New Roman"/>
          <w:color w:val="595959" w:themeColor="text1" w:themeTint="A6"/>
        </w:rPr>
        <w:t xml:space="preserve"> από την πρόσφατη έκδοση του 30ετούς κρατικού ομολόγου με ευνοϊκούς όρους χρηματοδότησης και αυξημένο ενδιαφέρον από τους διεθνείς επενδυτές.</w:t>
      </w:r>
    </w:p>
    <w:p w14:paraId="3D6DF8FA" w14:textId="77777777"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Με αυτά τα δεδομένα, η πρόβλεψη του Γραφείου Προϋπολογισμού για τον ρυθμό μεγέθυνσης του 2021 είναι 2,7%. Η πρόβλεψη αυτή υπόκειται σε σημαντικό βαθμό αβεβαιότητας</w:t>
      </w:r>
      <w:r w:rsidR="00D95FE9">
        <w:rPr>
          <w:rFonts w:ascii="Calibri" w:eastAsia="Calibri" w:hAnsi="Calibri" w:cs="Times New Roman"/>
          <w:color w:val="595959" w:themeColor="text1" w:themeTint="A6"/>
        </w:rPr>
        <w:t>,</w:t>
      </w:r>
      <w:r w:rsidRPr="00BC73D7">
        <w:rPr>
          <w:rFonts w:ascii="Calibri" w:eastAsia="Calibri" w:hAnsi="Calibri" w:cs="Times New Roman"/>
          <w:color w:val="595959" w:themeColor="text1" w:themeTint="A6"/>
        </w:rPr>
        <w:t xml:space="preserve"> που προέρχεται τόσο από την εξέλιξη της ίδιας της πανδημίας και των περιοριστικών μέτρων όσο και από ενδεχόμενες δημοσιονομικές παρεμβάσεις και την αξιοποίηση των πόρων του Ταμείου Ανάκαμψης.</w:t>
      </w:r>
    </w:p>
    <w:p w14:paraId="3EF576AC" w14:textId="77777777"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Η διατήρηση τ</w:t>
      </w:r>
      <w:r w:rsidR="00667F45">
        <w:rPr>
          <w:rFonts w:ascii="Calibri" w:eastAsia="Calibri" w:hAnsi="Calibri" w:cs="Times New Roman"/>
          <w:color w:val="595959" w:themeColor="text1" w:themeTint="A6"/>
        </w:rPr>
        <w:t xml:space="preserve">ων περιοριστικών μέτρων </w:t>
      </w:r>
      <w:r w:rsidRPr="00BC73D7">
        <w:rPr>
          <w:rFonts w:ascii="Calibri" w:eastAsia="Calibri" w:hAnsi="Calibri" w:cs="Times New Roman"/>
          <w:color w:val="595959" w:themeColor="text1" w:themeTint="A6"/>
        </w:rPr>
        <w:t xml:space="preserve">για ολόκληρο το πρώτο τρίμηνο του 2021 και τα προβλήματα </w:t>
      </w:r>
      <w:r w:rsidR="00667F45">
        <w:rPr>
          <w:rFonts w:ascii="Calibri" w:eastAsia="Calibri" w:hAnsi="Calibri" w:cs="Times New Roman"/>
          <w:color w:val="595959" w:themeColor="text1" w:themeTint="A6"/>
        </w:rPr>
        <w:t>στο πρόγραμμα</w:t>
      </w:r>
      <w:r w:rsidRPr="00BC73D7">
        <w:rPr>
          <w:rFonts w:ascii="Calibri" w:eastAsia="Calibri" w:hAnsi="Calibri" w:cs="Times New Roman"/>
          <w:color w:val="595959" w:themeColor="text1" w:themeTint="A6"/>
        </w:rPr>
        <w:t xml:space="preserve"> εμβολιασμών σε ευρωπαϊκό επίπεδο αποτελούν το</w:t>
      </w:r>
      <w:r w:rsidR="001B227F">
        <w:rPr>
          <w:rFonts w:ascii="Calibri" w:eastAsia="Calibri" w:hAnsi="Calibri" w:cs="Times New Roman"/>
          <w:color w:val="595959" w:themeColor="text1" w:themeTint="A6"/>
        </w:rPr>
        <w:t>ν</w:t>
      </w:r>
      <w:r w:rsidRPr="00BC73D7">
        <w:rPr>
          <w:rFonts w:ascii="Calibri" w:eastAsia="Calibri" w:hAnsi="Calibri" w:cs="Times New Roman"/>
          <w:color w:val="595959" w:themeColor="text1" w:themeTint="A6"/>
        </w:rPr>
        <w:t xml:space="preserve"> σημαντικότερο κίνδυνο για την εξέλιξη της οικονομικής δραστηριότητας το τρέχον έτος. Από την άλλη πλευρά, ενδεχόμενη επιτάχυνση των εμβολιασμών και σταδιακή χαλάρωση των περιορισμών και των μετακινήσεων μέχρι το καλοκαίρι μπορούν να συνεισφέρουν θετικά στην οικονομική δραστηριότητα, κυρίως μέσω του τουρισμού.</w:t>
      </w:r>
    </w:p>
    <w:p w14:paraId="69D674E1" w14:textId="77777777"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Όσον αφορά τις δημοσιονομικές παρεμβάσεις, η διατήρηση της «γενικής ρήτρας διαφυγής» (</w:t>
      </w:r>
      <w:r w:rsidRPr="00BC73D7">
        <w:rPr>
          <w:rFonts w:ascii="Calibri" w:eastAsia="Calibri" w:hAnsi="Calibri" w:cs="Times New Roman"/>
          <w:color w:val="595959" w:themeColor="text1" w:themeTint="A6"/>
          <w:lang w:val="en-US"/>
        </w:rPr>
        <w:t>general</w:t>
      </w:r>
      <w:r w:rsidRPr="00BC73D7">
        <w:rPr>
          <w:rFonts w:ascii="Calibri" w:eastAsia="Calibri" w:hAnsi="Calibri" w:cs="Times New Roman"/>
          <w:color w:val="595959" w:themeColor="text1" w:themeTint="A6"/>
        </w:rPr>
        <w:t xml:space="preserve"> </w:t>
      </w:r>
      <w:r w:rsidRPr="00BC73D7">
        <w:rPr>
          <w:rFonts w:ascii="Calibri" w:eastAsia="Calibri" w:hAnsi="Calibri" w:cs="Times New Roman"/>
          <w:color w:val="595959" w:themeColor="text1" w:themeTint="A6"/>
          <w:lang w:val="en-US"/>
        </w:rPr>
        <w:t>escape</w:t>
      </w:r>
      <w:r w:rsidRPr="00BC73D7">
        <w:rPr>
          <w:rFonts w:ascii="Calibri" w:eastAsia="Calibri" w:hAnsi="Calibri" w:cs="Times New Roman"/>
          <w:color w:val="595959" w:themeColor="text1" w:themeTint="A6"/>
        </w:rPr>
        <w:t xml:space="preserve"> </w:t>
      </w:r>
      <w:r w:rsidRPr="00BC73D7">
        <w:rPr>
          <w:rFonts w:ascii="Calibri" w:eastAsia="Calibri" w:hAnsi="Calibri" w:cs="Times New Roman"/>
          <w:color w:val="595959" w:themeColor="text1" w:themeTint="A6"/>
          <w:lang w:val="en-US"/>
        </w:rPr>
        <w:t>clause</w:t>
      </w:r>
      <w:r w:rsidRPr="00BC73D7">
        <w:rPr>
          <w:rFonts w:ascii="Calibri" w:eastAsia="Calibri" w:hAnsi="Calibri" w:cs="Times New Roman"/>
          <w:color w:val="595959" w:themeColor="text1" w:themeTint="A6"/>
        </w:rPr>
        <w:t xml:space="preserve">) από το Σύμφωνο Σταθερότητας για το 2021 και το 2022 προσφέρει σημαντική ευελιξία στην άσκηση της δημοσιονομικής πολιτικής. Αυτό σημαίνει ότι τα επεκτατικά μέτρα που συνεχίζονται εντός του 2021, ύψους περίπου 10 δις, δεν θα </w:t>
      </w:r>
      <w:r w:rsidRPr="00BC73D7">
        <w:rPr>
          <w:rFonts w:ascii="Calibri" w:eastAsia="Calibri" w:hAnsi="Calibri" w:cs="Times New Roman"/>
          <w:color w:val="595959" w:themeColor="text1" w:themeTint="A6"/>
        </w:rPr>
        <w:lastRenderedPageBreak/>
        <w:t>προκαλέσουν βραχυπρόθεσμα προβλήματα. Επιπρόσθετα, οι πόροι του Ταμείου Ανάκαμψης και Ανθεκτικότητας μπορούν να συνεισφέρουν εξίσου σημαντικά στη βραχυπρόθεσμη και μεσοπρόθεσμη μεγέθυνση, χωρίς μεγάλη δημοσιονομική επιβάρυνση. Σημειώνουμε ωστόσο ότι προϋπόθεση ώστε οι πόροι αυτοί να συμβάλλουν στους ρυθμούς οικονομικής μεγέθυνσης είναι να αυξήσουν τις δημόσιες και ιδιωτικές επενδύσεις πάνω από τα σημερινά τους επίπεδα, κάτι που αποτελεί μείζονα πρόκληση για τη χώρα μας.</w:t>
      </w:r>
      <w:r w:rsidR="004140B1">
        <w:rPr>
          <w:rFonts w:ascii="Calibri" w:eastAsia="Calibri" w:hAnsi="Calibri" w:cs="Times New Roman"/>
          <w:color w:val="595959" w:themeColor="text1" w:themeTint="A6"/>
        </w:rPr>
        <w:t xml:space="preserve"> Ειδικά για τις δημόσιες επενδύσεις, θα ήταν σημαντική η ενίσχυση του δημόσιου συστήματος υγείας σε υλικοτεχνικές υποδομές και ανθρώπινο δυναμικό. </w:t>
      </w:r>
    </w:p>
    <w:p w14:paraId="634ED81E" w14:textId="32D5DB54" w:rsidR="00BC73D7" w:rsidRPr="00BC73D7" w:rsidRDefault="00BC73D7" w:rsidP="00BC73D7">
      <w:pPr>
        <w:spacing w:after="200" w:line="276" w:lineRule="auto"/>
        <w:jc w:val="both"/>
        <w:rPr>
          <w:rFonts w:ascii="Calibri" w:eastAsia="Calibri" w:hAnsi="Calibri" w:cs="Times New Roman"/>
          <w:color w:val="595959" w:themeColor="text1" w:themeTint="A6"/>
        </w:rPr>
      </w:pPr>
      <w:r w:rsidRPr="00BC73D7">
        <w:rPr>
          <w:rFonts w:ascii="Calibri" w:eastAsia="Calibri" w:hAnsi="Calibri" w:cs="Times New Roman"/>
          <w:color w:val="595959" w:themeColor="text1" w:themeTint="A6"/>
        </w:rPr>
        <w:t>Τα παραπάνω δεδομένα διαμορφώνουν ένα λιγότερο περιοριστικό θεσμικό πλαίσιο για την άσκηση της δημοσιονομικής πολιτικής, το οποίο θα πρέπει να αξιοποι</w:t>
      </w:r>
      <w:r w:rsidR="00667F45">
        <w:rPr>
          <w:rFonts w:ascii="Calibri" w:eastAsia="Calibri" w:hAnsi="Calibri" w:cs="Times New Roman"/>
          <w:color w:val="595959" w:themeColor="text1" w:themeTint="A6"/>
        </w:rPr>
        <w:t xml:space="preserve">ηθεί </w:t>
      </w:r>
      <w:r w:rsidRPr="00BC73D7">
        <w:rPr>
          <w:rFonts w:ascii="Calibri" w:eastAsia="Calibri" w:hAnsi="Calibri" w:cs="Times New Roman"/>
          <w:color w:val="595959" w:themeColor="text1" w:themeTint="A6"/>
        </w:rPr>
        <w:t xml:space="preserve">προκειμένου </w:t>
      </w:r>
      <w:r w:rsidR="00667F45">
        <w:rPr>
          <w:rFonts w:ascii="Calibri" w:eastAsia="Calibri" w:hAnsi="Calibri" w:cs="Times New Roman"/>
          <w:color w:val="595959" w:themeColor="text1" w:themeTint="A6"/>
        </w:rPr>
        <w:t xml:space="preserve">να </w:t>
      </w:r>
      <w:r w:rsidRPr="00BC73D7">
        <w:rPr>
          <w:rFonts w:ascii="Calibri" w:eastAsia="Calibri" w:hAnsi="Calibri" w:cs="Times New Roman"/>
          <w:color w:val="595959" w:themeColor="text1" w:themeTint="A6"/>
        </w:rPr>
        <w:t xml:space="preserve">επιταχυνθεί η ανάκαμψη της οικονομίας. Παρόλα αυτά, θα πρέπει να επισημανθεί ότι οι παραπάνω παρεμβάσεις σε εθνικό και ευρωπαϊκό επίπεδο δεν δημιουργούν πραγματικά δημοσιονομικά περιθώρια. Όπως είχαμε αναφέρει και παλαιότερα, οι διευκολύνεις που προσφέρονται για τη βραχυπρόθεσμη διαχείριση της κρίσης δεν δικαιολογούν κανενός είδους δημοσιονομικό εφησυχασμό. Το χρέος που συσσωρεύεται στη διάρκεια της πανδημίας θα παραμείνει εκεί και μετά το τέλος της και η εξυπηρέτησή του θα ασκήσει πιέσεις στον κρατικό προϋπολογισμό, ιδιαίτερα αφού αρθούν τα έκτακτα μέτρα μαζικών αγορών κρατικών ομολόγων της ΕΚΤ (μέσω του προγράμματος </w:t>
      </w:r>
      <w:r w:rsidRPr="00BC73D7">
        <w:rPr>
          <w:rFonts w:ascii="Calibri" w:eastAsia="Calibri" w:hAnsi="Calibri" w:cs="Times New Roman"/>
          <w:color w:val="595959" w:themeColor="text1" w:themeTint="A6"/>
          <w:lang w:val="en-US"/>
        </w:rPr>
        <w:t>PEPP</w:t>
      </w:r>
      <w:r w:rsidRPr="00BC73D7">
        <w:rPr>
          <w:rFonts w:ascii="Calibri" w:eastAsia="Calibri" w:hAnsi="Calibri" w:cs="Times New Roman"/>
          <w:color w:val="595959" w:themeColor="text1" w:themeTint="A6"/>
        </w:rPr>
        <w:t xml:space="preserve">). </w:t>
      </w:r>
    </w:p>
    <w:p w14:paraId="62C5E4D1" w14:textId="514BEE0C" w:rsidR="00BC73D7" w:rsidRPr="00BC73D7" w:rsidRDefault="00BC73D7" w:rsidP="00BC73D7">
      <w:pPr>
        <w:spacing w:after="200" w:line="276" w:lineRule="auto"/>
        <w:jc w:val="both"/>
        <w:rPr>
          <w:rFonts w:ascii="Calibri" w:eastAsia="Calibri" w:hAnsi="Calibri" w:cs="Times New Roman"/>
          <w:b/>
          <w:bCs/>
          <w:color w:val="595959" w:themeColor="text1" w:themeTint="A6"/>
        </w:rPr>
      </w:pPr>
      <w:r w:rsidRPr="00BC73D7">
        <w:rPr>
          <w:rFonts w:ascii="Calibri" w:eastAsia="Calibri" w:hAnsi="Calibri" w:cs="Times New Roman"/>
          <w:color w:val="595959" w:themeColor="text1" w:themeTint="A6"/>
        </w:rPr>
        <w:t xml:space="preserve">Αξίζει, τέλος, να επισημανθεί ο κίνδυνος από την αύξηση του ιδιωτικού χρέους που αναμένεται να προκύψει λόγω της οικονομικής ύφεσης. Το μη εξυπηρετούμενο ιδιωτικό χρέος στο τέλος του 2020 έφτασε τα 242,6 δις (108,1 δις στην εφορία, 37,5 δις στα ασφαλιστικά ταμεία, 58,1 δις στις τράπεζες και 38,9 δις </w:t>
      </w:r>
      <w:hyperlink r:id="rId15" w:history="1">
        <w:r w:rsidRPr="00BC73D7">
          <w:rPr>
            <w:rStyle w:val="-"/>
            <w:rFonts w:ascii="Calibri" w:eastAsia="Calibri" w:hAnsi="Calibri" w:cs="Times New Roman"/>
            <w:color w:val="595959" w:themeColor="text1" w:themeTint="A6"/>
          </w:rPr>
          <w:t>στις εγχώριες Εταιρίες Διαχείρισης Απαιτήσεων από Δάνεια και Πιστώσεις (ΕΔΑΔΠ)</w:t>
        </w:r>
      </w:hyperlink>
      <w:r w:rsidRPr="00BC73D7">
        <w:rPr>
          <w:rFonts w:ascii="Calibri" w:eastAsia="Calibri" w:hAnsi="Calibri" w:cs="Times New Roman"/>
          <w:color w:val="595959" w:themeColor="text1" w:themeTint="A6"/>
        </w:rPr>
        <w:t>. Το συνολικό μέγεθος δεν είναι αυξημένο σε σχέση με το 2019, αναμένουμε ωστόσο να καταγράψει σημαντική επιδείνωση όταν θα ξεκινήσει η υλοποίηση των αποπληρωμών. Σε αυτό το στάδιο ενδέχεται να χρειαστούν επιπρόσθετες παρεμβάσεις και ειδικές ρυθμίσεις αποπληρωμής που ουσιαστικά θα ισοδυναμούν με ανάληψη μέρους του ιδιωτικού χρέους από τον δημόσιο τομέα. Τέτοιες παρεμβάσεις που αφορούν ολόκληρο το κοινωνικό σύνολο θα πρέπει να έχουν διαφανείς κανόνες και κριτήρια και να αποφασιστούν σε ευρωπαϊκό επίπεδο.</w:t>
      </w:r>
    </w:p>
    <w:p w14:paraId="5CE811AC" w14:textId="77777777" w:rsidR="009656F8" w:rsidRPr="00575A7E" w:rsidRDefault="009656F8" w:rsidP="003B1BE9">
      <w:pPr>
        <w:spacing w:after="200" w:line="276" w:lineRule="auto"/>
        <w:jc w:val="both"/>
        <w:rPr>
          <w:rFonts w:ascii="Calibri" w:eastAsia="Calibri" w:hAnsi="Calibri" w:cs="Times New Roman"/>
          <w:color w:val="595959" w:themeColor="text1" w:themeTint="A6"/>
        </w:rPr>
      </w:pPr>
    </w:p>
    <w:p w14:paraId="4DFAD4F7" w14:textId="77777777" w:rsidR="009656F8" w:rsidRPr="00575A7E" w:rsidRDefault="009656F8" w:rsidP="003B1BE9">
      <w:pPr>
        <w:spacing w:after="200" w:line="276" w:lineRule="auto"/>
        <w:jc w:val="both"/>
        <w:rPr>
          <w:rFonts w:ascii="Calibri" w:eastAsia="Calibri" w:hAnsi="Calibri" w:cs="Times New Roman"/>
          <w:color w:val="595959" w:themeColor="text1" w:themeTint="A6"/>
        </w:rPr>
      </w:pPr>
    </w:p>
    <w:p w14:paraId="2AC8EDA2" w14:textId="77777777" w:rsidR="009656F8" w:rsidRPr="00575A7E" w:rsidRDefault="009656F8" w:rsidP="003B1BE9">
      <w:pPr>
        <w:spacing w:after="200" w:line="276" w:lineRule="auto"/>
        <w:jc w:val="both"/>
        <w:rPr>
          <w:rFonts w:ascii="Calibri" w:eastAsia="Calibri" w:hAnsi="Calibri" w:cs="Times New Roman"/>
          <w:color w:val="595959" w:themeColor="text1" w:themeTint="A6"/>
        </w:rPr>
      </w:pPr>
    </w:p>
    <w:p w14:paraId="79513AE3" w14:textId="77777777" w:rsidR="00CB749D" w:rsidRPr="00575A7E" w:rsidRDefault="00CB749D" w:rsidP="003B1BE9">
      <w:pPr>
        <w:spacing w:line="276" w:lineRule="auto"/>
        <w:rPr>
          <w:rStyle w:val="1Char"/>
        </w:rPr>
      </w:pPr>
      <w:r w:rsidRPr="00575A7E">
        <w:rPr>
          <w:rStyle w:val="1Char"/>
        </w:rPr>
        <w:br w:type="page"/>
      </w:r>
    </w:p>
    <w:p w14:paraId="6A41651C" w14:textId="03590C2F" w:rsidR="0098081B" w:rsidRPr="0098081B" w:rsidRDefault="00667F9F" w:rsidP="0098081B">
      <w:pPr>
        <w:spacing w:after="240" w:line="276" w:lineRule="auto"/>
        <w:jc w:val="both"/>
        <w:rPr>
          <w:rFonts w:ascii="Calibri" w:eastAsia="Calibri" w:hAnsi="Calibri" w:cs="Times New Roman"/>
          <w:color w:val="595959" w:themeColor="text1" w:themeTint="A6"/>
          <w:lang w:val="en-GB"/>
        </w:rPr>
      </w:pPr>
      <w:bookmarkStart w:id="5" w:name="_Toc67401891"/>
      <w:r w:rsidRPr="00575A7E">
        <w:rPr>
          <w:rStyle w:val="1Char"/>
          <w:lang w:val="en-US"/>
        </w:rPr>
        <w:lastRenderedPageBreak/>
        <w:t>Summary</w:t>
      </w:r>
      <w:bookmarkEnd w:id="5"/>
      <w:r w:rsidRPr="0098081B">
        <w:rPr>
          <w:rStyle w:val="1Char"/>
          <w:lang w:val="en-US"/>
        </w:rPr>
        <w:br/>
      </w:r>
      <w:r w:rsidRPr="0098081B">
        <w:rPr>
          <w:color w:val="595959" w:themeColor="text1" w:themeTint="A6"/>
          <w:lang w:val="en-US"/>
        </w:rPr>
        <w:br/>
      </w:r>
      <w:r w:rsidR="0098081B" w:rsidRPr="0098081B">
        <w:rPr>
          <w:rFonts w:ascii="Calibri" w:eastAsia="Calibri" w:hAnsi="Calibri" w:cs="Times New Roman"/>
          <w:color w:val="595959" w:themeColor="text1" w:themeTint="A6"/>
          <w:lang w:val="en-GB"/>
        </w:rPr>
        <w:t>In 2020, the Greek economy recorded an annual recession (8.2%)</w:t>
      </w:r>
      <w:r w:rsidR="0098081B" w:rsidRPr="0098081B">
        <w:rPr>
          <w:rFonts w:ascii="Calibri" w:eastAsia="Calibri" w:hAnsi="Calibri" w:cs="Times New Roman"/>
          <w:color w:val="595959" w:themeColor="text1" w:themeTint="A6"/>
          <w:lang w:val="en-US"/>
        </w:rPr>
        <w:t xml:space="preserve">, </w:t>
      </w:r>
      <w:r w:rsidR="0095667C">
        <w:rPr>
          <w:rFonts w:ascii="Calibri" w:eastAsia="Calibri" w:hAnsi="Calibri" w:cs="Times New Roman"/>
          <w:color w:val="595959" w:themeColor="text1" w:themeTint="A6"/>
          <w:lang w:val="en-US"/>
        </w:rPr>
        <w:t>compared to</w:t>
      </w:r>
      <w:r w:rsidR="0098081B" w:rsidRPr="0098081B">
        <w:rPr>
          <w:rFonts w:ascii="Calibri" w:eastAsia="Calibri" w:hAnsi="Calibri" w:cs="Times New Roman"/>
          <w:color w:val="595959" w:themeColor="text1" w:themeTint="A6"/>
          <w:lang w:val="en-US"/>
        </w:rPr>
        <w:t xml:space="preserve"> 6</w:t>
      </w:r>
      <w:proofErr w:type="gramStart"/>
      <w:r w:rsidR="0098081B" w:rsidRPr="0098081B">
        <w:rPr>
          <w:rFonts w:ascii="Calibri" w:eastAsia="Calibri" w:hAnsi="Calibri" w:cs="Times New Roman"/>
          <w:color w:val="595959" w:themeColor="text1" w:themeTint="A6"/>
          <w:lang w:val="en-US"/>
        </w:rPr>
        <w:t>,6</w:t>
      </w:r>
      <w:proofErr w:type="gramEnd"/>
      <w:r w:rsidR="0098081B" w:rsidRPr="0098081B">
        <w:rPr>
          <w:rFonts w:ascii="Calibri" w:eastAsia="Calibri" w:hAnsi="Calibri" w:cs="Times New Roman"/>
          <w:color w:val="595959" w:themeColor="text1" w:themeTint="A6"/>
          <w:lang w:val="en-US"/>
        </w:rPr>
        <w:t>% in the Euro Area</w:t>
      </w:r>
      <w:r w:rsidR="0098081B" w:rsidRPr="0098081B">
        <w:rPr>
          <w:rFonts w:ascii="Calibri" w:eastAsia="Calibri" w:hAnsi="Calibri" w:cs="Times New Roman"/>
          <w:color w:val="595959" w:themeColor="text1" w:themeTint="A6"/>
          <w:lang w:val="en-GB"/>
        </w:rPr>
        <w:t xml:space="preserve">. </w:t>
      </w:r>
      <w:r w:rsidR="0095667C">
        <w:rPr>
          <w:rFonts w:ascii="Calibri" w:eastAsia="Calibri" w:hAnsi="Calibri" w:cs="Times New Roman"/>
          <w:color w:val="595959" w:themeColor="text1" w:themeTint="A6"/>
          <w:lang w:val="en-GB"/>
        </w:rPr>
        <w:t>This was mainly due to</w:t>
      </w:r>
      <w:r w:rsidR="0098081B" w:rsidRPr="0098081B">
        <w:rPr>
          <w:rFonts w:ascii="Calibri" w:eastAsia="Calibri" w:hAnsi="Calibri" w:cs="Times New Roman"/>
          <w:color w:val="595959" w:themeColor="text1" w:themeTint="A6"/>
          <w:lang w:val="en-GB"/>
        </w:rPr>
        <w:t xml:space="preserve"> the </w:t>
      </w:r>
      <w:r w:rsidR="0095667C">
        <w:rPr>
          <w:rFonts w:ascii="Calibri" w:eastAsia="Calibri" w:hAnsi="Calibri" w:cs="Times New Roman"/>
          <w:color w:val="595959" w:themeColor="text1" w:themeTint="A6"/>
          <w:lang w:val="en-US"/>
        </w:rPr>
        <w:t xml:space="preserve">sharp decline </w:t>
      </w:r>
      <w:r w:rsidR="004A11A2">
        <w:rPr>
          <w:rFonts w:ascii="Calibri" w:eastAsia="Calibri" w:hAnsi="Calibri" w:cs="Times New Roman"/>
          <w:color w:val="595959" w:themeColor="text1" w:themeTint="A6"/>
          <w:lang w:val="en-GB"/>
        </w:rPr>
        <w:t xml:space="preserve">of </w:t>
      </w:r>
      <w:r w:rsidR="0098081B" w:rsidRPr="0098081B">
        <w:rPr>
          <w:rFonts w:ascii="Calibri" w:eastAsia="Calibri" w:hAnsi="Calibri" w:cs="Times New Roman"/>
          <w:color w:val="595959" w:themeColor="text1" w:themeTint="A6"/>
          <w:lang w:val="en-GB"/>
        </w:rPr>
        <w:t>exports</w:t>
      </w:r>
      <w:r w:rsidR="004A11A2">
        <w:rPr>
          <w:rFonts w:ascii="Calibri" w:eastAsia="Calibri" w:hAnsi="Calibri" w:cs="Times New Roman"/>
          <w:color w:val="595959" w:themeColor="text1" w:themeTint="A6"/>
          <w:lang w:val="en-GB"/>
        </w:rPr>
        <w:t xml:space="preserve"> of services</w:t>
      </w:r>
      <w:r w:rsidR="0098081B" w:rsidRPr="0098081B">
        <w:rPr>
          <w:rFonts w:ascii="Calibri" w:eastAsia="Calibri" w:hAnsi="Calibri" w:cs="Times New Roman"/>
          <w:color w:val="595959" w:themeColor="text1" w:themeTint="A6"/>
          <w:lang w:val="en-GB"/>
        </w:rPr>
        <w:t xml:space="preserve"> (-43%) and private consumption (-5.2%). At the same time, the current account balance </w:t>
      </w:r>
      <w:r w:rsidR="0095667C">
        <w:rPr>
          <w:rFonts w:ascii="Calibri" w:eastAsia="Calibri" w:hAnsi="Calibri" w:cs="Times New Roman"/>
          <w:color w:val="595959" w:themeColor="text1" w:themeTint="A6"/>
          <w:lang w:val="en-GB"/>
        </w:rPr>
        <w:t xml:space="preserve">deteriorated by </w:t>
      </w:r>
      <w:r w:rsidR="0098081B" w:rsidRPr="0098081B">
        <w:rPr>
          <w:rFonts w:ascii="Calibri" w:eastAsia="Calibri" w:hAnsi="Calibri" w:cs="Times New Roman"/>
          <w:color w:val="595959" w:themeColor="text1" w:themeTint="A6"/>
          <w:lang w:val="en-GB"/>
        </w:rPr>
        <w:t xml:space="preserve">8.4 billion </w:t>
      </w:r>
      <w:r w:rsidR="0089138F">
        <w:rPr>
          <w:rFonts w:ascii="Calibri" w:eastAsia="Calibri" w:hAnsi="Calibri" w:cs="Times New Roman"/>
          <w:color w:val="595959" w:themeColor="text1" w:themeTint="A6"/>
          <w:lang w:val="en-GB"/>
        </w:rPr>
        <w:t xml:space="preserve">euros </w:t>
      </w:r>
      <w:r w:rsidR="0098081B" w:rsidRPr="0098081B">
        <w:rPr>
          <w:rFonts w:ascii="Calibri" w:eastAsia="Calibri" w:hAnsi="Calibri" w:cs="Times New Roman"/>
          <w:color w:val="595959" w:themeColor="text1" w:themeTint="A6"/>
          <w:lang w:val="en-GB"/>
        </w:rPr>
        <w:t xml:space="preserve">(5.2% of GDP) compared to 2019, while inflation remained negative in the area of -2%. </w:t>
      </w:r>
      <w:r w:rsidR="0095667C">
        <w:rPr>
          <w:rFonts w:ascii="Calibri" w:eastAsia="Calibri" w:hAnsi="Calibri" w:cs="Times New Roman"/>
          <w:color w:val="595959" w:themeColor="text1" w:themeTint="A6"/>
          <w:lang w:val="en-GB"/>
        </w:rPr>
        <w:t>The u</w:t>
      </w:r>
      <w:r w:rsidR="0098081B" w:rsidRPr="0098081B">
        <w:rPr>
          <w:rFonts w:ascii="Calibri" w:eastAsia="Calibri" w:hAnsi="Calibri" w:cs="Times New Roman"/>
          <w:color w:val="595959" w:themeColor="text1" w:themeTint="A6"/>
          <w:lang w:val="en-GB"/>
        </w:rPr>
        <w:t xml:space="preserve">nemployment </w:t>
      </w:r>
      <w:r w:rsidR="0095667C">
        <w:rPr>
          <w:rFonts w:ascii="Calibri" w:eastAsia="Calibri" w:hAnsi="Calibri" w:cs="Times New Roman"/>
          <w:color w:val="595959" w:themeColor="text1" w:themeTint="A6"/>
          <w:lang w:val="en-GB"/>
        </w:rPr>
        <w:t>rate did not increase</w:t>
      </w:r>
      <w:r w:rsidR="0098081B" w:rsidRPr="0098081B">
        <w:rPr>
          <w:rFonts w:ascii="Calibri" w:eastAsia="Calibri" w:hAnsi="Calibri" w:cs="Times New Roman"/>
          <w:color w:val="595959" w:themeColor="text1" w:themeTint="A6"/>
          <w:lang w:val="en-GB"/>
        </w:rPr>
        <w:t>, due to the special measures for job retention and the reduction of the labour force.</w:t>
      </w:r>
    </w:p>
    <w:p w14:paraId="69D0CDB8" w14:textId="58B661C1"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 xml:space="preserve">The fiscal </w:t>
      </w:r>
      <w:r w:rsidR="004A11A2">
        <w:rPr>
          <w:rFonts w:ascii="Calibri" w:eastAsia="Calibri" w:hAnsi="Calibri" w:cs="Times New Roman"/>
          <w:color w:val="595959" w:themeColor="text1" w:themeTint="A6"/>
          <w:lang w:val="en-GB"/>
        </w:rPr>
        <w:t>balance</w:t>
      </w:r>
      <w:r w:rsidRPr="0098081B">
        <w:rPr>
          <w:rFonts w:ascii="Calibri" w:eastAsia="Calibri" w:hAnsi="Calibri" w:cs="Times New Roman"/>
          <w:color w:val="595959" w:themeColor="text1" w:themeTint="A6"/>
          <w:lang w:val="en-GB"/>
        </w:rPr>
        <w:t xml:space="preserve"> deteriorated by 20.4 billion euros in 2020 compared to 2019</w:t>
      </w:r>
      <w:r w:rsidR="004A11A2">
        <w:rPr>
          <w:rFonts w:ascii="Calibri" w:eastAsia="Calibri" w:hAnsi="Calibri" w:cs="Times New Roman"/>
          <w:color w:val="595959" w:themeColor="text1" w:themeTint="A6"/>
          <w:lang w:val="en-GB"/>
        </w:rPr>
        <w:t>,</w:t>
      </w:r>
      <w:r w:rsidRPr="0098081B">
        <w:rPr>
          <w:rFonts w:ascii="Calibri" w:eastAsia="Calibri" w:hAnsi="Calibri" w:cs="Times New Roman"/>
          <w:color w:val="595959" w:themeColor="text1" w:themeTint="A6"/>
          <w:lang w:val="en-GB"/>
        </w:rPr>
        <w:t xml:space="preserve"> resulting </w:t>
      </w:r>
      <w:r w:rsidR="004A11A2">
        <w:rPr>
          <w:rFonts w:ascii="Calibri" w:eastAsia="Calibri" w:hAnsi="Calibri" w:cs="Times New Roman"/>
          <w:color w:val="595959" w:themeColor="text1" w:themeTint="A6"/>
          <w:lang w:val="en-GB"/>
        </w:rPr>
        <w:t>in</w:t>
      </w:r>
      <w:r w:rsidRPr="0098081B">
        <w:rPr>
          <w:rFonts w:ascii="Calibri" w:eastAsia="Calibri" w:hAnsi="Calibri" w:cs="Times New Roman"/>
          <w:color w:val="595959" w:themeColor="text1" w:themeTint="A6"/>
          <w:lang w:val="en-GB"/>
        </w:rPr>
        <w:t xml:space="preserve"> a primary deficit of almost 14 billion </w:t>
      </w:r>
      <w:r w:rsidRPr="0098081B">
        <w:rPr>
          <w:rFonts w:ascii="Calibri" w:eastAsia="Calibri" w:hAnsi="Calibri" w:cs="Times New Roman"/>
          <w:color w:val="595959" w:themeColor="text1" w:themeTint="A6"/>
          <w:lang w:val="en-US"/>
        </w:rPr>
        <w:t xml:space="preserve">euros </w:t>
      </w:r>
      <w:r w:rsidRPr="0098081B">
        <w:rPr>
          <w:rFonts w:ascii="Calibri" w:eastAsia="Calibri" w:hAnsi="Calibri" w:cs="Times New Roman"/>
          <w:color w:val="595959" w:themeColor="text1" w:themeTint="A6"/>
          <w:lang w:val="en-GB"/>
        </w:rPr>
        <w:t xml:space="preserve">(8.4% of GDP). </w:t>
      </w:r>
      <w:r w:rsidR="00D54DD7">
        <w:rPr>
          <w:rFonts w:ascii="Calibri" w:eastAsia="Calibri" w:hAnsi="Calibri" w:cs="Times New Roman"/>
          <w:color w:val="595959" w:themeColor="text1" w:themeTint="A6"/>
          <w:lang w:val="en-GB"/>
        </w:rPr>
        <w:t>T</w:t>
      </w:r>
      <w:r w:rsidRPr="0098081B">
        <w:rPr>
          <w:rFonts w:ascii="Calibri" w:eastAsia="Calibri" w:hAnsi="Calibri" w:cs="Times New Roman"/>
          <w:color w:val="595959" w:themeColor="text1" w:themeTint="A6"/>
          <w:lang w:val="en-GB"/>
        </w:rPr>
        <w:t xml:space="preserve">he official </w:t>
      </w:r>
      <w:r w:rsidR="004A11A2">
        <w:rPr>
          <w:rFonts w:ascii="Calibri" w:eastAsia="Calibri" w:hAnsi="Calibri" w:cs="Times New Roman"/>
          <w:color w:val="595959" w:themeColor="text1" w:themeTint="A6"/>
          <w:lang w:val="en-GB"/>
        </w:rPr>
        <w:t>primary balance</w:t>
      </w:r>
      <w:r w:rsidRPr="0098081B">
        <w:rPr>
          <w:rFonts w:ascii="Calibri" w:eastAsia="Calibri" w:hAnsi="Calibri" w:cs="Times New Roman"/>
          <w:color w:val="595959" w:themeColor="text1" w:themeTint="A6"/>
          <w:lang w:val="en-GB"/>
        </w:rPr>
        <w:t xml:space="preserve"> </w:t>
      </w:r>
      <w:r w:rsidR="00D54DD7">
        <w:rPr>
          <w:rFonts w:ascii="Calibri" w:eastAsia="Calibri" w:hAnsi="Calibri" w:cs="Times New Roman"/>
          <w:color w:val="595959" w:themeColor="text1" w:themeTint="A6"/>
          <w:lang w:val="en-GB"/>
        </w:rPr>
        <w:t xml:space="preserve">is expected </w:t>
      </w:r>
      <w:r w:rsidRPr="0098081B">
        <w:rPr>
          <w:rFonts w:ascii="Calibri" w:eastAsia="Calibri" w:hAnsi="Calibri" w:cs="Times New Roman"/>
          <w:color w:val="595959" w:themeColor="text1" w:themeTint="A6"/>
          <w:lang w:val="en-GB"/>
        </w:rPr>
        <w:t>to be better, due to the specific accounting rules ap</w:t>
      </w:r>
      <w:r w:rsidR="00D54DD7">
        <w:rPr>
          <w:rFonts w:ascii="Calibri" w:eastAsia="Calibri" w:hAnsi="Calibri" w:cs="Times New Roman"/>
          <w:color w:val="595959" w:themeColor="text1" w:themeTint="A6"/>
          <w:lang w:val="en-GB"/>
        </w:rPr>
        <w:t xml:space="preserve">plied to various </w:t>
      </w:r>
      <w:r w:rsidR="004A11A2">
        <w:rPr>
          <w:rFonts w:ascii="Calibri" w:eastAsia="Calibri" w:hAnsi="Calibri" w:cs="Times New Roman"/>
          <w:color w:val="595959" w:themeColor="text1" w:themeTint="A6"/>
          <w:lang w:val="en-GB"/>
        </w:rPr>
        <w:t>emergency measures:</w:t>
      </w:r>
      <w:r w:rsidRPr="0098081B">
        <w:rPr>
          <w:rFonts w:ascii="Calibri" w:eastAsia="Calibri" w:hAnsi="Calibri" w:cs="Times New Roman"/>
          <w:color w:val="595959" w:themeColor="text1" w:themeTint="A6"/>
          <w:lang w:val="en-GB"/>
        </w:rPr>
        <w:t xml:space="preserve"> the amounts of tax deferrals and refundable advanced payments </w:t>
      </w:r>
      <w:r w:rsidR="00D54DD7">
        <w:rPr>
          <w:rFonts w:ascii="Calibri" w:eastAsia="Calibri" w:hAnsi="Calibri" w:cs="Times New Roman"/>
          <w:color w:val="595959" w:themeColor="text1" w:themeTint="A6"/>
          <w:lang w:val="en-GB"/>
        </w:rPr>
        <w:t xml:space="preserve">schemes </w:t>
      </w:r>
      <w:r w:rsidRPr="0098081B">
        <w:rPr>
          <w:rFonts w:ascii="Calibri" w:eastAsia="Calibri" w:hAnsi="Calibri" w:cs="Times New Roman"/>
          <w:color w:val="595959" w:themeColor="text1" w:themeTint="A6"/>
          <w:lang w:val="en-GB"/>
        </w:rPr>
        <w:t xml:space="preserve">that are expected to be collected in the future, will not be calculated in the fiscal </w:t>
      </w:r>
      <w:r w:rsidRPr="0098081B">
        <w:rPr>
          <w:rFonts w:ascii="Calibri" w:eastAsia="Calibri" w:hAnsi="Calibri" w:cs="Times New Roman"/>
          <w:color w:val="595959" w:themeColor="text1" w:themeTint="A6"/>
          <w:lang w:val="en-US"/>
        </w:rPr>
        <w:t>outcome of 2020</w:t>
      </w:r>
      <w:r w:rsidRPr="0098081B">
        <w:rPr>
          <w:rFonts w:ascii="Calibri" w:eastAsia="Calibri" w:hAnsi="Calibri" w:cs="Times New Roman"/>
          <w:color w:val="595959" w:themeColor="text1" w:themeTint="A6"/>
          <w:lang w:val="en-GB"/>
        </w:rPr>
        <w:t>. General Government Debt increased by about 10 billion euros, reaching 341 billion euros (205% of GDP) in December 2020.</w:t>
      </w:r>
    </w:p>
    <w:p w14:paraId="0A70F0ED" w14:textId="2D56F56A"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 xml:space="preserve">This deterioration results mostly from the emergency </w:t>
      </w:r>
      <w:r w:rsidR="00D54DD7">
        <w:rPr>
          <w:rFonts w:ascii="Calibri" w:eastAsia="Calibri" w:hAnsi="Calibri" w:cs="Times New Roman"/>
          <w:color w:val="595959" w:themeColor="text1" w:themeTint="A6"/>
          <w:lang w:val="en-GB"/>
        </w:rPr>
        <w:t xml:space="preserve">support </w:t>
      </w:r>
      <w:r w:rsidRPr="0098081B">
        <w:rPr>
          <w:rFonts w:ascii="Calibri" w:eastAsia="Calibri" w:hAnsi="Calibri" w:cs="Times New Roman"/>
          <w:color w:val="595959" w:themeColor="text1" w:themeTint="A6"/>
          <w:lang w:val="en-GB"/>
        </w:rPr>
        <w:t xml:space="preserve">measures of around 14.8 billion euros (excluding state guarantees) as well as the significant reduction of GDP. Despite </w:t>
      </w:r>
      <w:r w:rsidR="00D54DD7">
        <w:rPr>
          <w:rFonts w:ascii="Calibri" w:eastAsia="Calibri" w:hAnsi="Calibri" w:cs="Times New Roman"/>
          <w:color w:val="595959" w:themeColor="text1" w:themeTint="A6"/>
          <w:lang w:val="en-GB"/>
        </w:rPr>
        <w:t xml:space="preserve">the </w:t>
      </w:r>
      <w:r w:rsidRPr="0098081B">
        <w:rPr>
          <w:rFonts w:ascii="Calibri" w:eastAsia="Calibri" w:hAnsi="Calibri" w:cs="Times New Roman"/>
          <w:color w:val="595959" w:themeColor="text1" w:themeTint="A6"/>
          <w:lang w:val="en-GB"/>
        </w:rPr>
        <w:t xml:space="preserve">adverse economic and fiscal conditions, </w:t>
      </w:r>
      <w:r w:rsidR="00D54DD7">
        <w:rPr>
          <w:rFonts w:ascii="Calibri" w:eastAsia="Calibri" w:hAnsi="Calibri" w:cs="Times New Roman"/>
          <w:color w:val="595959" w:themeColor="text1" w:themeTint="A6"/>
          <w:lang w:val="en-GB"/>
        </w:rPr>
        <w:t>the international creditworthiness of the Hellenic Republic</w:t>
      </w:r>
      <w:r w:rsidRPr="0098081B">
        <w:rPr>
          <w:rFonts w:ascii="Calibri" w:eastAsia="Calibri" w:hAnsi="Calibri" w:cs="Times New Roman"/>
          <w:color w:val="595959" w:themeColor="text1" w:themeTint="A6"/>
          <w:lang w:val="en-GB"/>
        </w:rPr>
        <w:t xml:space="preserve"> remains strong, as certified by the recent issue of a 30-year government bond with favourable terms and increased interest from international investors.</w:t>
      </w:r>
    </w:p>
    <w:p w14:paraId="29D768D9" w14:textId="77777777"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 xml:space="preserve">Given the above, we expect real GDP to grow by 2.7% in 2021. This forecast is subject to significant uncertainties, stemming either from the evolution of the pandemic and lockdowns, or from possible fiscal interventions including the utilisation of the </w:t>
      </w:r>
      <w:r w:rsidRPr="0098081B">
        <w:rPr>
          <w:rFonts w:ascii="Calibri" w:eastAsia="Calibri" w:hAnsi="Calibri" w:cs="Times New Roman"/>
          <w:iCs/>
          <w:color w:val="595959" w:themeColor="text1" w:themeTint="A6"/>
          <w:lang w:val="en-GB"/>
        </w:rPr>
        <w:t>Recovery and Resilience Facility</w:t>
      </w:r>
      <w:r w:rsidRPr="0098081B">
        <w:rPr>
          <w:rFonts w:ascii="Calibri" w:eastAsia="Calibri" w:hAnsi="Calibri" w:cs="Times New Roman"/>
          <w:i/>
          <w:iCs/>
          <w:color w:val="595959" w:themeColor="text1" w:themeTint="A6"/>
          <w:lang w:val="en-GB"/>
        </w:rPr>
        <w:t xml:space="preserve"> </w:t>
      </w:r>
      <w:r w:rsidRPr="0098081B">
        <w:rPr>
          <w:rFonts w:ascii="Calibri" w:eastAsia="Calibri" w:hAnsi="Calibri" w:cs="Times New Roman"/>
          <w:color w:val="595959" w:themeColor="text1" w:themeTint="A6"/>
          <w:lang w:val="en-GB"/>
        </w:rPr>
        <w:t>funds.</w:t>
      </w:r>
    </w:p>
    <w:p w14:paraId="47DE21E0" w14:textId="140DE76D"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 xml:space="preserve">Maintaining lockdown measures for the </w:t>
      </w:r>
      <w:r w:rsidR="004A11A2">
        <w:rPr>
          <w:rFonts w:ascii="Calibri" w:eastAsia="Calibri" w:hAnsi="Calibri" w:cs="Times New Roman"/>
          <w:color w:val="595959" w:themeColor="text1" w:themeTint="A6"/>
          <w:lang w:val="en-GB"/>
        </w:rPr>
        <w:t xml:space="preserve">full </w:t>
      </w:r>
      <w:r w:rsidRPr="0098081B">
        <w:rPr>
          <w:rFonts w:ascii="Calibri" w:eastAsia="Calibri" w:hAnsi="Calibri" w:cs="Times New Roman"/>
          <w:color w:val="595959" w:themeColor="text1" w:themeTint="A6"/>
          <w:lang w:val="en-GB"/>
        </w:rPr>
        <w:t>first quarter of 2021 and delays in vaccinations at the European level are the most important risks to economic activity this year. On the other hand, potential acceleration of vaccinations and gradual relaxation of travel restrictions by summer could contribute positively to economic activity, mainly through tourism.</w:t>
      </w:r>
    </w:p>
    <w:p w14:paraId="2FC66E6F" w14:textId="4C670AF7"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Concerning fiscal interventions, the maintenance of the "General Escape Clause" from the Stability Pact for 2021 and 2022 offers significant fiscal flexibility. Expansionary measures extended into 2021, totalling about 10 billion euros, will not be an issue in the short-term. Furthermore, resources from the Recovery and Resilience Facility funds could reinforce short and medium-term growth, without fiscal burden, provided they raise public and private investment above their standard levels.</w:t>
      </w:r>
    </w:p>
    <w:p w14:paraId="6A876CEA" w14:textId="73779A3B"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Fiscal flexibility provides room for implementing growth-friendly policies</w:t>
      </w:r>
      <w:r w:rsidR="004A11A2">
        <w:rPr>
          <w:rFonts w:ascii="Calibri" w:eastAsia="Calibri" w:hAnsi="Calibri" w:cs="Times New Roman"/>
          <w:color w:val="595959" w:themeColor="text1" w:themeTint="A6"/>
          <w:lang w:val="en-GB"/>
        </w:rPr>
        <w:t>, i</w:t>
      </w:r>
      <w:r w:rsidRPr="0098081B">
        <w:rPr>
          <w:rFonts w:ascii="Calibri" w:eastAsia="Calibri" w:hAnsi="Calibri" w:cs="Times New Roman"/>
          <w:color w:val="595959" w:themeColor="text1" w:themeTint="A6"/>
          <w:lang w:val="en-GB"/>
        </w:rPr>
        <w:t xml:space="preserve">t should be noted, however, that the relaxation of fiscal rules at the institutional level does not generate real fiscal space. As we have mentioned in </w:t>
      </w:r>
      <w:r w:rsidR="004A11A2">
        <w:rPr>
          <w:rFonts w:ascii="Calibri" w:eastAsia="Calibri" w:hAnsi="Calibri" w:cs="Times New Roman"/>
          <w:color w:val="595959" w:themeColor="text1" w:themeTint="A6"/>
          <w:lang w:val="en-GB"/>
        </w:rPr>
        <w:t xml:space="preserve">our </w:t>
      </w:r>
      <w:r w:rsidRPr="0098081B">
        <w:rPr>
          <w:rFonts w:ascii="Calibri" w:eastAsia="Calibri" w:hAnsi="Calibri" w:cs="Times New Roman"/>
          <w:color w:val="595959" w:themeColor="text1" w:themeTint="A6"/>
          <w:lang w:val="en-GB"/>
        </w:rPr>
        <w:t xml:space="preserve">earlier reports, special </w:t>
      </w:r>
      <w:r w:rsidR="004A11A2" w:rsidRPr="0098081B">
        <w:rPr>
          <w:rFonts w:ascii="Calibri" w:eastAsia="Calibri" w:hAnsi="Calibri" w:cs="Times New Roman"/>
          <w:color w:val="595959" w:themeColor="text1" w:themeTint="A6"/>
          <w:lang w:val="en-GB"/>
        </w:rPr>
        <w:t xml:space="preserve">current </w:t>
      </w:r>
      <w:r w:rsidRPr="0098081B">
        <w:rPr>
          <w:rFonts w:ascii="Calibri" w:eastAsia="Calibri" w:hAnsi="Calibri" w:cs="Times New Roman"/>
          <w:color w:val="595959" w:themeColor="text1" w:themeTint="A6"/>
          <w:lang w:val="en-GB"/>
        </w:rPr>
        <w:t xml:space="preserve">conditions do not justify any kind of </w:t>
      </w:r>
      <w:r w:rsidRPr="0098081B">
        <w:rPr>
          <w:rFonts w:ascii="Calibri" w:eastAsia="Calibri" w:hAnsi="Calibri" w:cs="Times New Roman"/>
          <w:color w:val="595959" w:themeColor="text1" w:themeTint="A6"/>
          <w:lang w:val="en-US"/>
        </w:rPr>
        <w:t>fiscal</w:t>
      </w:r>
      <w:r w:rsidRPr="0098081B">
        <w:rPr>
          <w:rFonts w:ascii="Calibri" w:eastAsia="Calibri" w:hAnsi="Calibri" w:cs="Times New Roman"/>
          <w:color w:val="595959" w:themeColor="text1" w:themeTint="A6"/>
          <w:lang w:val="en-GB"/>
        </w:rPr>
        <w:t xml:space="preserve"> complacency. Debt accumulated during the pandemic will still be there </w:t>
      </w:r>
      <w:r w:rsidRPr="0098081B">
        <w:rPr>
          <w:rFonts w:ascii="Calibri" w:eastAsia="Calibri" w:hAnsi="Calibri" w:cs="Times New Roman"/>
          <w:color w:val="595959" w:themeColor="text1" w:themeTint="A6"/>
          <w:lang w:val="en-GB"/>
        </w:rPr>
        <w:lastRenderedPageBreak/>
        <w:t xml:space="preserve">in the post-pandemic period, imposing a considerable burden on public finances, especially </w:t>
      </w:r>
      <w:r w:rsidRPr="0098081B">
        <w:rPr>
          <w:rFonts w:ascii="Calibri" w:eastAsia="Calibri" w:hAnsi="Calibri" w:cs="Times New Roman"/>
          <w:color w:val="595959" w:themeColor="text1" w:themeTint="A6"/>
          <w:lang w:val="en-US"/>
        </w:rPr>
        <w:t xml:space="preserve">after </w:t>
      </w:r>
      <w:r w:rsidRPr="0098081B">
        <w:rPr>
          <w:rFonts w:ascii="Calibri" w:eastAsia="Calibri" w:hAnsi="Calibri" w:cs="Times New Roman"/>
          <w:color w:val="595959" w:themeColor="text1" w:themeTint="A6"/>
          <w:lang w:val="en-GB"/>
        </w:rPr>
        <w:t>the expiration of ECB's emergency measures (through the PEPP program).</w:t>
      </w:r>
    </w:p>
    <w:p w14:paraId="686A4FFB" w14:textId="25E074DD" w:rsidR="0098081B" w:rsidRPr="0098081B" w:rsidRDefault="0098081B" w:rsidP="0098081B">
      <w:pPr>
        <w:spacing w:after="240" w:line="276" w:lineRule="auto"/>
        <w:jc w:val="both"/>
        <w:rPr>
          <w:rFonts w:ascii="Calibri" w:eastAsia="Calibri" w:hAnsi="Calibri" w:cs="Times New Roman"/>
          <w:color w:val="595959" w:themeColor="text1" w:themeTint="A6"/>
          <w:lang w:val="en-GB"/>
        </w:rPr>
      </w:pPr>
      <w:r w:rsidRPr="0098081B">
        <w:rPr>
          <w:rFonts w:ascii="Calibri" w:eastAsia="Calibri" w:hAnsi="Calibri" w:cs="Times New Roman"/>
          <w:color w:val="595959" w:themeColor="text1" w:themeTint="A6"/>
          <w:lang w:val="en-GB"/>
        </w:rPr>
        <w:t>Finally, we should highlight the risk posed by pandemic-related private debt. Non-performing private debt at the end of 2020 reached 242.6 billion euros (108.1 billion euros in taxes, 37.5 billion euros in social security contributions, 58.1 billion euros in bank</w:t>
      </w:r>
      <w:r w:rsidR="004A11A2">
        <w:rPr>
          <w:rFonts w:ascii="Calibri" w:eastAsia="Calibri" w:hAnsi="Calibri" w:cs="Times New Roman"/>
          <w:color w:val="595959" w:themeColor="text1" w:themeTint="A6"/>
          <w:lang w:val="en-GB"/>
        </w:rPr>
        <w:t>s</w:t>
      </w:r>
      <w:r w:rsidRPr="0098081B">
        <w:rPr>
          <w:rFonts w:ascii="Calibri" w:eastAsia="Calibri" w:hAnsi="Calibri" w:cs="Times New Roman"/>
          <w:color w:val="595959" w:themeColor="text1" w:themeTint="A6"/>
          <w:lang w:val="en-GB"/>
        </w:rPr>
        <w:t xml:space="preserve"> and 38.9 billion euros in Credit Servicing Firms (CSFs). The aggregate amount </w:t>
      </w:r>
      <w:r w:rsidR="004A11A2">
        <w:rPr>
          <w:rFonts w:ascii="Calibri" w:eastAsia="Calibri" w:hAnsi="Calibri" w:cs="Times New Roman"/>
          <w:color w:val="595959" w:themeColor="text1" w:themeTint="A6"/>
          <w:lang w:val="en-GB"/>
        </w:rPr>
        <w:t>has</w:t>
      </w:r>
      <w:r w:rsidRPr="0098081B">
        <w:rPr>
          <w:rFonts w:ascii="Calibri" w:eastAsia="Calibri" w:hAnsi="Calibri" w:cs="Times New Roman"/>
          <w:color w:val="595959" w:themeColor="text1" w:themeTint="A6"/>
          <w:lang w:val="en-GB"/>
        </w:rPr>
        <w:t xml:space="preserve"> not yet increased compared to 2019, because of deferrals and other special settlements, but we expect a significant deterioration when repayments resume. At that stage, additional interventions and repayment arrangements might be needed that will effectively transfer a part of private debt to the public sector. Such interventions should have transparent rules and criteria and decided at European level.</w:t>
      </w:r>
    </w:p>
    <w:p w14:paraId="3C4D0AE7" w14:textId="77777777" w:rsidR="00667F9F" w:rsidRPr="0098081B" w:rsidRDefault="00667F9F" w:rsidP="003B1BE9">
      <w:pPr>
        <w:spacing w:after="240" w:line="276" w:lineRule="auto"/>
        <w:jc w:val="both"/>
        <w:rPr>
          <w:rFonts w:ascii="Calibri" w:eastAsia="Calibri" w:hAnsi="Calibri" w:cs="Times New Roman"/>
          <w:color w:val="595959" w:themeColor="text1" w:themeTint="A6"/>
          <w:lang w:val="en-GB"/>
        </w:rPr>
      </w:pPr>
    </w:p>
    <w:p w14:paraId="72A8243F" w14:textId="77777777" w:rsidR="00C23E2E" w:rsidRPr="0098081B" w:rsidRDefault="00C23E2E" w:rsidP="003B1BE9">
      <w:pPr>
        <w:spacing w:after="240" w:line="276" w:lineRule="auto"/>
        <w:jc w:val="both"/>
        <w:rPr>
          <w:rFonts w:ascii="Calibri" w:eastAsia="Calibri" w:hAnsi="Calibri" w:cs="Times New Roman"/>
          <w:color w:val="595959" w:themeColor="text1" w:themeTint="A6"/>
          <w:lang w:val="en-US"/>
        </w:rPr>
      </w:pPr>
    </w:p>
    <w:p w14:paraId="3783670B" w14:textId="77777777" w:rsidR="009656F8" w:rsidRPr="0098081B" w:rsidRDefault="009656F8" w:rsidP="003B1BE9">
      <w:pPr>
        <w:spacing w:after="240" w:line="276" w:lineRule="auto"/>
        <w:jc w:val="both"/>
        <w:rPr>
          <w:rFonts w:ascii="Calibri" w:eastAsia="Calibri" w:hAnsi="Calibri" w:cs="Times New Roman"/>
          <w:color w:val="595959" w:themeColor="text1" w:themeTint="A6"/>
          <w:lang w:val="en-US"/>
        </w:rPr>
      </w:pPr>
    </w:p>
    <w:p w14:paraId="4714E909" w14:textId="77777777" w:rsidR="00C25D71" w:rsidRPr="0098081B" w:rsidRDefault="00C25D71" w:rsidP="003B1BE9">
      <w:pPr>
        <w:spacing w:line="276" w:lineRule="auto"/>
        <w:jc w:val="both"/>
        <w:rPr>
          <w:b/>
          <w:bCs/>
          <w:color w:val="595959" w:themeColor="text1" w:themeTint="A6"/>
          <w:lang w:val="en-US"/>
        </w:rPr>
      </w:pPr>
    </w:p>
    <w:p w14:paraId="083CE886" w14:textId="77777777" w:rsidR="00204B60" w:rsidRPr="0098081B" w:rsidRDefault="00204B60" w:rsidP="003B1BE9">
      <w:pPr>
        <w:spacing w:line="276" w:lineRule="auto"/>
        <w:jc w:val="both"/>
        <w:rPr>
          <w:rFonts w:ascii="Calibri" w:eastAsia="Calibri" w:hAnsi="Calibri" w:cs="Times New Roman"/>
          <w:color w:val="595959" w:themeColor="text1" w:themeTint="A6"/>
          <w:lang w:val="en-US"/>
        </w:rPr>
      </w:pPr>
    </w:p>
    <w:p w14:paraId="23B0FF86" w14:textId="77777777" w:rsidR="001B43DE" w:rsidRPr="0098081B" w:rsidRDefault="001B43DE" w:rsidP="003B1BE9">
      <w:pPr>
        <w:spacing w:after="200" w:line="276" w:lineRule="auto"/>
        <w:jc w:val="both"/>
        <w:rPr>
          <w:rFonts w:ascii="Calibri" w:eastAsia="Calibri" w:hAnsi="Calibri" w:cs="Times New Roman"/>
          <w:color w:val="595959" w:themeColor="text1" w:themeTint="A6"/>
          <w:lang w:val="en-US"/>
        </w:rPr>
      </w:pPr>
    </w:p>
    <w:p w14:paraId="58477CEA" w14:textId="77777777" w:rsidR="001239F3" w:rsidRPr="0098081B" w:rsidRDefault="001239F3" w:rsidP="003B1BE9">
      <w:pPr>
        <w:spacing w:line="276" w:lineRule="auto"/>
        <w:jc w:val="both"/>
        <w:rPr>
          <w:color w:val="595959" w:themeColor="text1" w:themeTint="A6"/>
          <w:lang w:val="en-US"/>
        </w:rPr>
      </w:pPr>
    </w:p>
    <w:p w14:paraId="320C3F5E" w14:textId="6B4790FC" w:rsidR="009D66A4" w:rsidRDefault="006C0722" w:rsidP="0098081B">
      <w:pPr>
        <w:spacing w:line="276" w:lineRule="auto"/>
        <w:rPr>
          <w:rFonts w:ascii="Calibri" w:eastAsia="Calibri" w:hAnsi="Calibri" w:cs="Times New Roman"/>
          <w:color w:val="595959"/>
          <w:lang w:val="en-US"/>
        </w:rPr>
      </w:pPr>
      <w:bookmarkStart w:id="6" w:name="_Hlk55732902"/>
      <w:bookmarkStart w:id="7" w:name="_Toc50131938"/>
      <w:bookmarkStart w:id="8" w:name="_Toc16003935"/>
      <w:bookmarkStart w:id="9" w:name="_Toc40705979"/>
      <w:r w:rsidRPr="0098081B">
        <w:rPr>
          <w:rFonts w:ascii="Calibri" w:eastAsia="Calibri" w:hAnsi="Calibri" w:cs="Times New Roman"/>
          <w:color w:val="595959"/>
          <w:lang w:val="en-US"/>
        </w:rPr>
        <w:br w:type="page"/>
      </w:r>
      <w:bookmarkStart w:id="10" w:name="_Toc521341309"/>
      <w:bookmarkEnd w:id="6"/>
      <w:bookmarkEnd w:id="7"/>
      <w:bookmarkEnd w:id="8"/>
      <w:bookmarkEnd w:id="9"/>
      <w:bookmarkEnd w:id="1"/>
      <w:bookmarkEnd w:id="0"/>
    </w:p>
    <w:p w14:paraId="1D6452F0" w14:textId="77777777" w:rsidR="00E749E2" w:rsidRDefault="00E749E2" w:rsidP="0098081B">
      <w:pPr>
        <w:spacing w:line="276" w:lineRule="auto"/>
        <w:rPr>
          <w:rFonts w:ascii="Calibri" w:eastAsia="Calibri" w:hAnsi="Calibri" w:cs="Times New Roman"/>
          <w:color w:val="595959"/>
          <w:lang w:val="en-US"/>
        </w:rPr>
      </w:pPr>
    </w:p>
    <w:p w14:paraId="13A610A4" w14:textId="77777777" w:rsidR="00E749E2" w:rsidRDefault="00E749E2" w:rsidP="0098081B">
      <w:pPr>
        <w:spacing w:line="276" w:lineRule="auto"/>
        <w:rPr>
          <w:rFonts w:ascii="Calibri" w:eastAsia="Calibri" w:hAnsi="Calibri" w:cs="Times New Roman"/>
          <w:color w:val="595959"/>
          <w:lang w:val="en-US"/>
        </w:rPr>
      </w:pPr>
    </w:p>
    <w:p w14:paraId="64D929C9" w14:textId="77777777" w:rsidR="00E749E2" w:rsidRDefault="00E749E2" w:rsidP="0098081B">
      <w:pPr>
        <w:spacing w:line="276" w:lineRule="auto"/>
        <w:rPr>
          <w:rFonts w:ascii="Calibri" w:eastAsia="Calibri" w:hAnsi="Calibri" w:cs="Times New Roman"/>
          <w:color w:val="595959"/>
          <w:lang w:val="en-US"/>
        </w:rPr>
      </w:pPr>
    </w:p>
    <w:p w14:paraId="7A24E56C" w14:textId="77777777" w:rsidR="00E749E2" w:rsidRDefault="00E749E2" w:rsidP="0098081B">
      <w:pPr>
        <w:spacing w:line="276" w:lineRule="auto"/>
        <w:rPr>
          <w:rFonts w:ascii="Calibri" w:eastAsia="Calibri" w:hAnsi="Calibri" w:cs="Times New Roman"/>
          <w:color w:val="595959"/>
          <w:lang w:val="en-US"/>
        </w:rPr>
      </w:pPr>
    </w:p>
    <w:p w14:paraId="7FABF552" w14:textId="77777777" w:rsidR="00E749E2" w:rsidRDefault="00E749E2" w:rsidP="0098081B">
      <w:pPr>
        <w:spacing w:line="276" w:lineRule="auto"/>
        <w:rPr>
          <w:rFonts w:ascii="Calibri" w:eastAsia="Calibri" w:hAnsi="Calibri" w:cs="Times New Roman"/>
          <w:color w:val="595959"/>
          <w:lang w:val="en-US"/>
        </w:rPr>
      </w:pPr>
    </w:p>
    <w:p w14:paraId="02EF3557" w14:textId="77777777" w:rsidR="00E749E2" w:rsidRDefault="00E749E2" w:rsidP="0098081B">
      <w:pPr>
        <w:spacing w:line="276" w:lineRule="auto"/>
        <w:rPr>
          <w:rFonts w:ascii="Calibri" w:eastAsia="Calibri" w:hAnsi="Calibri" w:cs="Times New Roman"/>
          <w:color w:val="595959"/>
          <w:lang w:val="en-US"/>
        </w:rPr>
      </w:pPr>
    </w:p>
    <w:p w14:paraId="2DDE0979" w14:textId="77777777" w:rsidR="00E749E2" w:rsidRDefault="00E749E2" w:rsidP="0098081B">
      <w:pPr>
        <w:spacing w:line="276" w:lineRule="auto"/>
        <w:rPr>
          <w:rFonts w:ascii="Calibri" w:eastAsia="Calibri" w:hAnsi="Calibri" w:cs="Times New Roman"/>
          <w:color w:val="595959"/>
          <w:lang w:val="en-US"/>
        </w:rPr>
      </w:pPr>
    </w:p>
    <w:p w14:paraId="3A1E29A5" w14:textId="77777777" w:rsidR="00E749E2" w:rsidRDefault="00E749E2" w:rsidP="0098081B">
      <w:pPr>
        <w:spacing w:line="276" w:lineRule="auto"/>
        <w:rPr>
          <w:rFonts w:ascii="Calibri" w:eastAsia="Calibri" w:hAnsi="Calibri" w:cs="Times New Roman"/>
          <w:color w:val="595959"/>
          <w:lang w:val="en-US"/>
        </w:rPr>
      </w:pPr>
    </w:p>
    <w:p w14:paraId="323082BF" w14:textId="77777777" w:rsidR="00E749E2" w:rsidRDefault="00E749E2" w:rsidP="0098081B">
      <w:pPr>
        <w:spacing w:line="276" w:lineRule="auto"/>
        <w:rPr>
          <w:rFonts w:ascii="Calibri" w:eastAsia="Calibri" w:hAnsi="Calibri" w:cs="Times New Roman"/>
          <w:color w:val="595959"/>
          <w:lang w:val="en-US"/>
        </w:rPr>
      </w:pPr>
    </w:p>
    <w:p w14:paraId="0A14B122" w14:textId="77777777" w:rsidR="00E749E2" w:rsidRDefault="00E749E2" w:rsidP="0098081B">
      <w:pPr>
        <w:spacing w:line="276" w:lineRule="auto"/>
        <w:rPr>
          <w:rFonts w:ascii="Calibri" w:eastAsia="Calibri" w:hAnsi="Calibri" w:cs="Times New Roman"/>
          <w:color w:val="595959"/>
          <w:lang w:val="en-US"/>
        </w:rPr>
      </w:pPr>
    </w:p>
    <w:p w14:paraId="56DC0D5D" w14:textId="77777777" w:rsidR="00E749E2" w:rsidRDefault="00E749E2" w:rsidP="0098081B">
      <w:pPr>
        <w:spacing w:line="276" w:lineRule="auto"/>
        <w:rPr>
          <w:rFonts w:ascii="Calibri" w:eastAsia="Calibri" w:hAnsi="Calibri" w:cs="Times New Roman"/>
          <w:color w:val="595959"/>
          <w:lang w:val="en-US"/>
        </w:rPr>
      </w:pPr>
    </w:p>
    <w:p w14:paraId="52F98279" w14:textId="77777777" w:rsidR="00E749E2" w:rsidRDefault="00E749E2" w:rsidP="0098081B">
      <w:pPr>
        <w:spacing w:line="276" w:lineRule="auto"/>
        <w:rPr>
          <w:rFonts w:ascii="Calibri" w:eastAsia="Calibri" w:hAnsi="Calibri" w:cs="Times New Roman"/>
          <w:color w:val="595959"/>
          <w:lang w:val="en-US"/>
        </w:rPr>
      </w:pPr>
    </w:p>
    <w:p w14:paraId="06612853" w14:textId="77777777" w:rsidR="00E749E2" w:rsidRDefault="00E749E2" w:rsidP="0098081B">
      <w:pPr>
        <w:spacing w:line="276" w:lineRule="auto"/>
        <w:rPr>
          <w:rFonts w:ascii="Calibri" w:eastAsia="Calibri" w:hAnsi="Calibri" w:cs="Times New Roman"/>
          <w:color w:val="595959"/>
          <w:lang w:val="en-US"/>
        </w:rPr>
      </w:pPr>
    </w:p>
    <w:p w14:paraId="5854A495" w14:textId="77777777" w:rsidR="00E749E2" w:rsidRDefault="00E749E2" w:rsidP="0098081B">
      <w:pPr>
        <w:spacing w:line="276" w:lineRule="auto"/>
        <w:rPr>
          <w:rFonts w:ascii="Calibri" w:eastAsia="Calibri" w:hAnsi="Calibri" w:cs="Times New Roman"/>
          <w:color w:val="595959"/>
          <w:lang w:val="en-US"/>
        </w:rPr>
      </w:pPr>
    </w:p>
    <w:p w14:paraId="423ADD51" w14:textId="77777777" w:rsidR="00E749E2" w:rsidRDefault="00E749E2" w:rsidP="0098081B">
      <w:pPr>
        <w:spacing w:line="276" w:lineRule="auto"/>
        <w:rPr>
          <w:rFonts w:ascii="Calibri" w:eastAsia="Calibri" w:hAnsi="Calibri" w:cs="Times New Roman"/>
          <w:color w:val="595959"/>
          <w:lang w:val="en-US"/>
        </w:rPr>
      </w:pPr>
    </w:p>
    <w:p w14:paraId="6749498F" w14:textId="77777777" w:rsidR="00E749E2" w:rsidRDefault="00E749E2" w:rsidP="0098081B">
      <w:pPr>
        <w:spacing w:line="276" w:lineRule="auto"/>
        <w:rPr>
          <w:rFonts w:ascii="Calibri" w:eastAsia="Calibri" w:hAnsi="Calibri" w:cs="Times New Roman"/>
          <w:color w:val="595959"/>
          <w:lang w:val="en-US"/>
        </w:rPr>
      </w:pPr>
    </w:p>
    <w:p w14:paraId="0197EAB0" w14:textId="77777777" w:rsidR="00E749E2" w:rsidRDefault="00E749E2" w:rsidP="0098081B">
      <w:pPr>
        <w:spacing w:line="276" w:lineRule="auto"/>
        <w:rPr>
          <w:rFonts w:ascii="Calibri" w:eastAsia="Calibri" w:hAnsi="Calibri" w:cs="Times New Roman"/>
          <w:color w:val="595959"/>
          <w:lang w:val="en-US"/>
        </w:rPr>
      </w:pPr>
    </w:p>
    <w:p w14:paraId="3C131F74" w14:textId="77777777" w:rsidR="00E749E2" w:rsidRDefault="00E749E2" w:rsidP="0098081B">
      <w:pPr>
        <w:spacing w:line="276" w:lineRule="auto"/>
        <w:rPr>
          <w:rFonts w:ascii="Calibri" w:eastAsia="Calibri" w:hAnsi="Calibri" w:cs="Times New Roman"/>
          <w:color w:val="595959"/>
          <w:lang w:val="en-US"/>
        </w:rPr>
      </w:pPr>
    </w:p>
    <w:p w14:paraId="44AA83DA" w14:textId="77777777" w:rsidR="00E749E2" w:rsidRDefault="00E749E2" w:rsidP="0098081B">
      <w:pPr>
        <w:spacing w:line="276" w:lineRule="auto"/>
        <w:rPr>
          <w:rFonts w:ascii="Calibri" w:eastAsia="Calibri" w:hAnsi="Calibri" w:cs="Times New Roman"/>
          <w:color w:val="595959"/>
          <w:lang w:val="en-US"/>
        </w:rPr>
      </w:pPr>
    </w:p>
    <w:p w14:paraId="5C9117E9" w14:textId="77777777" w:rsidR="00E749E2" w:rsidRDefault="00E749E2" w:rsidP="0098081B">
      <w:pPr>
        <w:spacing w:line="276" w:lineRule="auto"/>
        <w:rPr>
          <w:rFonts w:ascii="Calibri" w:eastAsia="Calibri" w:hAnsi="Calibri" w:cs="Times New Roman"/>
          <w:color w:val="595959"/>
          <w:lang w:val="en-US"/>
        </w:rPr>
      </w:pPr>
    </w:p>
    <w:p w14:paraId="54EF949F" w14:textId="77777777" w:rsidR="00E749E2" w:rsidRDefault="00E749E2" w:rsidP="0098081B">
      <w:pPr>
        <w:spacing w:line="276" w:lineRule="auto"/>
        <w:rPr>
          <w:rFonts w:ascii="Calibri" w:eastAsia="Calibri" w:hAnsi="Calibri" w:cs="Times New Roman"/>
          <w:color w:val="595959"/>
          <w:lang w:val="en-US"/>
        </w:rPr>
      </w:pPr>
    </w:p>
    <w:p w14:paraId="06258BC1" w14:textId="77777777" w:rsidR="00E749E2" w:rsidRDefault="00E749E2" w:rsidP="0098081B">
      <w:pPr>
        <w:spacing w:line="276" w:lineRule="auto"/>
        <w:rPr>
          <w:rFonts w:ascii="Calibri" w:eastAsia="Calibri" w:hAnsi="Calibri" w:cs="Times New Roman"/>
          <w:color w:val="595959"/>
          <w:lang w:val="en-US"/>
        </w:rPr>
      </w:pPr>
    </w:p>
    <w:p w14:paraId="696F257B" w14:textId="77777777" w:rsidR="00E749E2" w:rsidRDefault="00E749E2" w:rsidP="0098081B">
      <w:pPr>
        <w:spacing w:line="276" w:lineRule="auto"/>
        <w:rPr>
          <w:rFonts w:ascii="Calibri" w:eastAsia="Calibri" w:hAnsi="Calibri" w:cs="Times New Roman"/>
          <w:color w:val="595959"/>
          <w:lang w:val="en-US"/>
        </w:rPr>
      </w:pPr>
    </w:p>
    <w:p w14:paraId="67FDCCA1" w14:textId="77777777" w:rsidR="00E749E2" w:rsidRDefault="00E749E2" w:rsidP="0098081B">
      <w:pPr>
        <w:spacing w:line="276" w:lineRule="auto"/>
        <w:rPr>
          <w:rFonts w:ascii="Calibri" w:eastAsia="Calibri" w:hAnsi="Calibri" w:cs="Times New Roman"/>
          <w:color w:val="595959"/>
          <w:lang w:val="en-US"/>
        </w:rPr>
      </w:pPr>
    </w:p>
    <w:p w14:paraId="0EA01A60" w14:textId="77777777" w:rsidR="00E749E2" w:rsidRDefault="00E749E2" w:rsidP="0098081B">
      <w:pPr>
        <w:spacing w:line="276" w:lineRule="auto"/>
        <w:rPr>
          <w:rFonts w:ascii="Calibri" w:eastAsia="Calibri" w:hAnsi="Calibri" w:cs="Times New Roman"/>
          <w:color w:val="595959"/>
          <w:lang w:val="en-US"/>
        </w:rPr>
      </w:pPr>
    </w:p>
    <w:p w14:paraId="2F209F35" w14:textId="77777777" w:rsidR="00E749E2" w:rsidRDefault="00E749E2" w:rsidP="0098081B">
      <w:pPr>
        <w:spacing w:line="276" w:lineRule="auto"/>
        <w:rPr>
          <w:rFonts w:ascii="Calibri" w:eastAsia="Calibri" w:hAnsi="Calibri" w:cs="Times New Roman"/>
          <w:color w:val="595959"/>
          <w:lang w:val="en-US"/>
        </w:rPr>
      </w:pPr>
    </w:p>
    <w:p w14:paraId="54F8DB5E" w14:textId="77777777" w:rsidR="00E749E2" w:rsidRDefault="00E749E2" w:rsidP="0098081B">
      <w:pPr>
        <w:spacing w:line="276" w:lineRule="auto"/>
        <w:rPr>
          <w:rFonts w:ascii="Calibri" w:eastAsia="Calibri" w:hAnsi="Calibri" w:cs="Times New Roman"/>
          <w:color w:val="595959"/>
          <w:lang w:val="en-US"/>
        </w:rPr>
      </w:pPr>
    </w:p>
    <w:p w14:paraId="3FCFA9E3" w14:textId="77777777" w:rsidR="00E749E2" w:rsidRDefault="00E749E2" w:rsidP="0098081B">
      <w:pPr>
        <w:spacing w:line="276" w:lineRule="auto"/>
        <w:rPr>
          <w:rFonts w:ascii="Calibri" w:eastAsia="Calibri" w:hAnsi="Calibri" w:cs="Times New Roman"/>
          <w:color w:val="595959"/>
          <w:lang w:val="en-US"/>
        </w:rPr>
      </w:pPr>
    </w:p>
    <w:p w14:paraId="346FC334" w14:textId="309B6831" w:rsidR="00E749E2" w:rsidRPr="00AE505C" w:rsidRDefault="00E749E2" w:rsidP="00E749E2">
      <w:pPr>
        <w:spacing w:line="276" w:lineRule="auto"/>
        <w:jc w:val="center"/>
        <w:rPr>
          <w:rFonts w:ascii="Calibri" w:eastAsia="Calibri" w:hAnsi="Calibri" w:cs="Times New Roman"/>
          <w:color w:val="595959"/>
        </w:rPr>
      </w:pPr>
      <w:r w:rsidRPr="00575A7E">
        <w:rPr>
          <w:rFonts w:ascii="Calibri" w:eastAsia="Calibri" w:hAnsi="Calibri" w:cs="Times New Roman"/>
          <w:color w:val="595959"/>
        </w:rPr>
        <w:t>[κενή σελίδα]</w:t>
      </w:r>
    </w:p>
    <w:p w14:paraId="1AE7D371" w14:textId="77777777" w:rsidR="00283CC6" w:rsidRPr="00575A7E" w:rsidRDefault="00283CC6" w:rsidP="003B1BE9">
      <w:pPr>
        <w:pStyle w:val="1"/>
        <w:spacing w:line="276" w:lineRule="auto"/>
        <w:jc w:val="center"/>
        <w:rPr>
          <w:rFonts w:eastAsia="Times New Roman"/>
        </w:rPr>
      </w:pPr>
      <w:bookmarkStart w:id="11" w:name="_Toc67401892"/>
      <w:r w:rsidRPr="00575A7E">
        <w:rPr>
          <w:rFonts w:eastAsia="Times New Roman"/>
        </w:rPr>
        <w:lastRenderedPageBreak/>
        <w:t>1. Μακροοικονομικές εξελίξεις</w:t>
      </w:r>
      <w:bookmarkEnd w:id="11"/>
    </w:p>
    <w:p w14:paraId="4AA744CE" w14:textId="77777777" w:rsidR="00283CC6" w:rsidRPr="00575A7E" w:rsidRDefault="00283CC6" w:rsidP="003B1BE9">
      <w:pPr>
        <w:spacing w:after="0" w:line="276" w:lineRule="auto"/>
        <w:jc w:val="center"/>
        <w:rPr>
          <w:rFonts w:ascii="Calibri" w:eastAsia="Calibri" w:hAnsi="Calibri" w:cs="Times New Roman"/>
          <w:b/>
          <w:color w:val="595959"/>
        </w:rPr>
      </w:pPr>
    </w:p>
    <w:p w14:paraId="0E0779DE" w14:textId="77777777" w:rsidR="00283CC6" w:rsidRPr="00575A7E" w:rsidRDefault="00283CC6" w:rsidP="003B1BE9">
      <w:pPr>
        <w:pStyle w:val="2"/>
        <w:spacing w:before="0" w:line="276" w:lineRule="auto"/>
        <w:jc w:val="both"/>
        <w:rPr>
          <w:rFonts w:ascii="Calibri" w:eastAsia="Calibri" w:hAnsi="Calibri"/>
        </w:rPr>
      </w:pPr>
      <w:bookmarkStart w:id="12" w:name="_Toc50131939"/>
      <w:bookmarkStart w:id="13" w:name="_Toc56073712"/>
      <w:bookmarkStart w:id="14" w:name="_Toc67401893"/>
      <w:r w:rsidRPr="00575A7E">
        <w:rPr>
          <w:rFonts w:eastAsia="Times New Roman"/>
        </w:rPr>
        <w:t>1.1. Διεθνές και ευρωπαϊκό περιβάλλον</w:t>
      </w:r>
      <w:bookmarkEnd w:id="12"/>
      <w:bookmarkEnd w:id="13"/>
      <w:bookmarkEnd w:id="14"/>
    </w:p>
    <w:p w14:paraId="4FDAE3C2" w14:textId="77777777" w:rsidR="00283CC6" w:rsidRPr="00575A7E" w:rsidRDefault="00283CC6" w:rsidP="003B1BE9">
      <w:pPr>
        <w:spacing w:after="0" w:line="276" w:lineRule="auto"/>
        <w:rPr>
          <w:rFonts w:ascii="Calibri" w:eastAsia="Calibri" w:hAnsi="Calibri" w:cs="Times New Roman"/>
        </w:rPr>
      </w:pPr>
    </w:p>
    <w:p w14:paraId="5C47A6AA" w14:textId="38DB0EC1" w:rsidR="00283CC6" w:rsidRPr="00575A7E" w:rsidRDefault="006110B7" w:rsidP="003B1BE9">
      <w:pPr>
        <w:spacing w:line="276" w:lineRule="auto"/>
        <w:jc w:val="both"/>
        <w:rPr>
          <w:color w:val="595959"/>
        </w:rPr>
      </w:pPr>
      <w:r>
        <w:rPr>
          <w:rFonts w:ascii="Calibri" w:eastAsia="Calibri" w:hAnsi="Calibri" w:cs="Arial"/>
          <w:color w:val="595959"/>
        </w:rPr>
        <w:t>Η</w:t>
      </w:r>
      <w:r w:rsidR="003B67C5">
        <w:rPr>
          <w:rFonts w:ascii="Calibri" w:eastAsia="Calibri" w:hAnsi="Calibri" w:cs="Arial"/>
          <w:color w:val="595959"/>
        </w:rPr>
        <w:t xml:space="preserve"> </w:t>
      </w:r>
      <w:r w:rsidR="00283CC6" w:rsidRPr="00575A7E">
        <w:rPr>
          <w:rFonts w:ascii="Calibri" w:eastAsia="Calibri" w:hAnsi="Calibri" w:cs="Arial"/>
          <w:color w:val="595959"/>
        </w:rPr>
        <w:t>παγκόσμια οικονομία κατέγραψε</w:t>
      </w:r>
      <w:r w:rsidR="0080479A" w:rsidRPr="00575A7E">
        <w:rPr>
          <w:rFonts w:ascii="Calibri" w:eastAsia="Calibri" w:hAnsi="Calibri" w:cs="Arial"/>
          <w:color w:val="595959"/>
        </w:rPr>
        <w:t xml:space="preserve"> </w:t>
      </w:r>
      <w:r w:rsidR="00283CC6" w:rsidRPr="00575A7E">
        <w:rPr>
          <w:rFonts w:ascii="Calibri" w:eastAsia="Calibri" w:hAnsi="Calibri" w:cs="Arial"/>
          <w:color w:val="595959"/>
        </w:rPr>
        <w:t xml:space="preserve">ύφεση 3,5% </w:t>
      </w:r>
      <w:r w:rsidR="0080479A" w:rsidRPr="00575A7E">
        <w:rPr>
          <w:rFonts w:ascii="Calibri" w:eastAsia="Calibri" w:hAnsi="Calibri" w:cs="Arial"/>
          <w:color w:val="595959"/>
        </w:rPr>
        <w:t>το 2020</w:t>
      </w:r>
      <w:r w:rsidR="001B7AB6" w:rsidRPr="00575A7E">
        <w:rPr>
          <w:rFonts w:ascii="Calibri" w:eastAsia="Calibri" w:hAnsi="Calibri" w:cs="Arial"/>
          <w:color w:val="595959"/>
        </w:rPr>
        <w:t xml:space="preserve"> ενώ</w:t>
      </w:r>
      <w:r w:rsidR="00283CC6" w:rsidRPr="00575A7E">
        <w:rPr>
          <w:rFonts w:ascii="Calibri" w:eastAsia="Calibri" w:hAnsi="Calibri" w:cs="Arial"/>
          <w:color w:val="595959"/>
        </w:rPr>
        <w:t xml:space="preserve"> αναμένεται να εισέλθει σε ανοδική τροχιά το 2021 και το 2022</w:t>
      </w:r>
      <w:r w:rsidR="00CE06ED" w:rsidRPr="00575A7E">
        <w:rPr>
          <w:rFonts w:ascii="Calibri" w:eastAsia="Calibri" w:hAnsi="Calibri" w:cs="Arial"/>
          <w:color w:val="595959"/>
        </w:rPr>
        <w:t>, με σημαντικό βαθμό αβεβαιότητας</w:t>
      </w:r>
      <w:r w:rsidR="00283CC6" w:rsidRPr="00575A7E">
        <w:rPr>
          <w:rFonts w:ascii="Calibri" w:eastAsia="Calibri" w:hAnsi="Calibri" w:cs="Arial"/>
          <w:color w:val="595959"/>
        </w:rPr>
        <w:t>. Οι εγκρίσεις εμβολίων και η έναρξη του εμβολιασμού</w:t>
      </w:r>
      <w:r w:rsidR="00AF1567">
        <w:rPr>
          <w:rFonts w:ascii="Calibri" w:eastAsia="Calibri" w:hAnsi="Calibri" w:cs="Arial"/>
          <w:color w:val="595959"/>
        </w:rPr>
        <w:t>,</w:t>
      </w:r>
      <w:r w:rsidR="00283CC6" w:rsidRPr="00575A7E">
        <w:rPr>
          <w:rFonts w:ascii="Calibri" w:eastAsia="Calibri" w:hAnsi="Calibri" w:cs="Arial"/>
          <w:color w:val="595959"/>
        </w:rPr>
        <w:t xml:space="preserve"> σε ορισμένες χώρες </w:t>
      </w:r>
      <w:r w:rsidR="0080479A" w:rsidRPr="00575A7E">
        <w:rPr>
          <w:rFonts w:ascii="Calibri" w:eastAsia="Calibri" w:hAnsi="Calibri" w:cs="Arial"/>
          <w:color w:val="595959"/>
        </w:rPr>
        <w:t xml:space="preserve">από </w:t>
      </w:r>
      <w:r w:rsidR="00283CC6" w:rsidRPr="00575A7E">
        <w:rPr>
          <w:rFonts w:ascii="Calibri" w:eastAsia="Calibri" w:hAnsi="Calibri" w:cs="Arial"/>
          <w:color w:val="595959"/>
        </w:rPr>
        <w:t xml:space="preserve">τον Δεκέμβριο </w:t>
      </w:r>
      <w:r w:rsidR="0080479A" w:rsidRPr="00575A7E">
        <w:rPr>
          <w:rFonts w:ascii="Calibri" w:eastAsia="Calibri" w:hAnsi="Calibri" w:cs="Arial"/>
          <w:color w:val="595959"/>
        </w:rPr>
        <w:t>του 2020</w:t>
      </w:r>
      <w:r w:rsidR="00AF1567">
        <w:rPr>
          <w:rFonts w:ascii="Calibri" w:eastAsia="Calibri" w:hAnsi="Calibri" w:cs="Arial"/>
          <w:color w:val="595959"/>
        </w:rPr>
        <w:t>,</w:t>
      </w:r>
      <w:r w:rsidR="0080479A" w:rsidRPr="00575A7E">
        <w:rPr>
          <w:rFonts w:ascii="Calibri" w:eastAsia="Calibri" w:hAnsi="Calibri" w:cs="Arial"/>
          <w:color w:val="595959"/>
        </w:rPr>
        <w:t xml:space="preserve"> </w:t>
      </w:r>
      <w:r w:rsidR="00283CC6" w:rsidRPr="00575A7E">
        <w:rPr>
          <w:rFonts w:ascii="Calibri" w:eastAsia="Calibri" w:hAnsi="Calibri" w:cs="Arial"/>
          <w:color w:val="595959"/>
        </w:rPr>
        <w:t xml:space="preserve">έχουν δημιουργήσει ελπίδες για ενδεχόμενο τερματισμό της πανδημίας </w:t>
      </w:r>
      <w:r w:rsidR="0080479A" w:rsidRPr="00575A7E">
        <w:rPr>
          <w:rFonts w:ascii="Calibri" w:eastAsia="Calibri" w:hAnsi="Calibri" w:cs="Arial"/>
          <w:color w:val="595959"/>
        </w:rPr>
        <w:t xml:space="preserve">εντός του 2021 </w:t>
      </w:r>
      <w:r w:rsidR="00283CC6" w:rsidRPr="00575A7E">
        <w:rPr>
          <w:rFonts w:ascii="Calibri" w:eastAsia="Calibri" w:hAnsi="Calibri" w:cs="Arial"/>
          <w:color w:val="595959"/>
        </w:rPr>
        <w:t>και</w:t>
      </w:r>
      <w:r w:rsidR="002C23E9">
        <w:rPr>
          <w:rFonts w:ascii="Calibri" w:eastAsia="Calibri" w:hAnsi="Calibri" w:cs="Arial"/>
          <w:color w:val="595959"/>
        </w:rPr>
        <w:t>,</w:t>
      </w:r>
      <w:r w:rsidR="00283CC6" w:rsidRPr="00575A7E">
        <w:rPr>
          <w:rFonts w:ascii="Calibri" w:eastAsia="Calibri" w:hAnsi="Calibri" w:cs="Arial"/>
          <w:color w:val="595959"/>
        </w:rPr>
        <w:t xml:space="preserve"> παρά το</w:t>
      </w:r>
      <w:r w:rsidR="0080479A" w:rsidRPr="00575A7E">
        <w:rPr>
          <w:rFonts w:ascii="Calibri" w:eastAsia="Calibri" w:hAnsi="Calibri" w:cs="Arial"/>
          <w:color w:val="595959"/>
        </w:rPr>
        <w:t>ν</w:t>
      </w:r>
      <w:r w:rsidR="00283CC6" w:rsidRPr="00575A7E">
        <w:rPr>
          <w:rFonts w:ascii="Calibri" w:eastAsia="Calibri" w:hAnsi="Calibri" w:cs="Arial"/>
          <w:color w:val="595959"/>
        </w:rPr>
        <w:t xml:space="preserve"> υψηλό και αυξανόμενο αριθμό θυμάτων, η οικονομική δραστηριότητα φαίνεται να </w:t>
      </w:r>
      <w:r w:rsidR="00270182">
        <w:rPr>
          <w:rFonts w:ascii="Calibri" w:eastAsia="Calibri" w:hAnsi="Calibri" w:cs="Arial"/>
          <w:color w:val="595959"/>
        </w:rPr>
        <w:t>εξομαλύνεται</w:t>
      </w:r>
      <w:r w:rsidR="00270182" w:rsidRPr="00575A7E">
        <w:rPr>
          <w:rFonts w:ascii="Calibri" w:eastAsia="Calibri" w:hAnsi="Calibri" w:cs="Arial"/>
          <w:color w:val="595959"/>
        </w:rPr>
        <w:t xml:space="preserve"> </w:t>
      </w:r>
      <w:r w:rsidR="00283CC6" w:rsidRPr="00575A7E">
        <w:rPr>
          <w:rFonts w:ascii="Calibri" w:eastAsia="Calibri" w:hAnsi="Calibri" w:cs="Arial"/>
          <w:color w:val="595959"/>
        </w:rPr>
        <w:t xml:space="preserve">με το πέρασμα του χρόνου. Επιπλέον τα </w:t>
      </w:r>
      <w:r w:rsidR="00AF1567">
        <w:rPr>
          <w:rFonts w:ascii="Calibri" w:eastAsia="Calibri" w:hAnsi="Calibri" w:cs="Arial"/>
          <w:color w:val="595959"/>
        </w:rPr>
        <w:t>νέα</w:t>
      </w:r>
      <w:r w:rsidR="00AF1567" w:rsidRPr="00575A7E">
        <w:rPr>
          <w:rFonts w:ascii="Calibri" w:eastAsia="Calibri" w:hAnsi="Calibri" w:cs="Arial"/>
          <w:color w:val="595959"/>
        </w:rPr>
        <w:t xml:space="preserve"> </w:t>
      </w:r>
      <w:r w:rsidR="00CE06ED" w:rsidRPr="00575A7E">
        <w:rPr>
          <w:rFonts w:ascii="Calibri" w:eastAsia="Calibri" w:hAnsi="Calibri" w:cs="Arial"/>
          <w:color w:val="595959"/>
        </w:rPr>
        <w:t xml:space="preserve">επεκτατικά </w:t>
      </w:r>
      <w:r w:rsidR="00283CC6" w:rsidRPr="00575A7E">
        <w:rPr>
          <w:rFonts w:ascii="Calibri" w:eastAsia="Calibri" w:hAnsi="Calibri" w:cs="Arial"/>
          <w:color w:val="595959"/>
        </w:rPr>
        <w:t xml:space="preserve">μέτρα που ανακοινώθηκαν στα τέλη του 2020 – ιδίως στις Ηνωμένες Πολιτείες και την Ιαπωνία – </w:t>
      </w:r>
      <w:r w:rsidR="00AF1567">
        <w:rPr>
          <w:rFonts w:ascii="Calibri" w:eastAsia="Calibri" w:hAnsi="Calibri" w:cs="Arial"/>
          <w:color w:val="595959"/>
        </w:rPr>
        <w:t>θ</w:t>
      </w:r>
      <w:r w:rsidR="00283CC6" w:rsidRPr="00575A7E">
        <w:rPr>
          <w:rFonts w:ascii="Calibri" w:eastAsia="Calibri" w:hAnsi="Calibri" w:cs="Arial"/>
          <w:color w:val="595959"/>
        </w:rPr>
        <w:t xml:space="preserve">α παρέχουν </w:t>
      </w:r>
      <w:r w:rsidR="00AF1567">
        <w:rPr>
          <w:rFonts w:ascii="Calibri" w:eastAsia="Calibri" w:hAnsi="Calibri" w:cs="Arial"/>
          <w:color w:val="595959"/>
        </w:rPr>
        <w:t>πρόσθετη</w:t>
      </w:r>
      <w:r w:rsidR="00AF1567" w:rsidRPr="00575A7E">
        <w:rPr>
          <w:rFonts w:ascii="Calibri" w:eastAsia="Calibri" w:hAnsi="Calibri" w:cs="Arial"/>
          <w:color w:val="595959"/>
        </w:rPr>
        <w:t xml:space="preserve"> </w:t>
      </w:r>
      <w:r w:rsidR="00283CC6" w:rsidRPr="00575A7E">
        <w:rPr>
          <w:rFonts w:ascii="Calibri" w:eastAsia="Calibri" w:hAnsi="Calibri" w:cs="Arial"/>
          <w:color w:val="595959"/>
        </w:rPr>
        <w:t>στήριξη στην παγκόσμια οικονομία</w:t>
      </w:r>
      <w:r w:rsidR="00AF1567">
        <w:rPr>
          <w:rFonts w:ascii="Calibri" w:eastAsia="Calibri" w:hAnsi="Calibri" w:cs="Arial"/>
          <w:color w:val="595959"/>
        </w:rPr>
        <w:t xml:space="preserve"> </w:t>
      </w:r>
      <w:r w:rsidR="00AF1567" w:rsidRPr="00575A7E">
        <w:rPr>
          <w:rFonts w:ascii="Calibri" w:eastAsia="Calibri" w:hAnsi="Calibri" w:cs="Arial"/>
          <w:color w:val="595959"/>
        </w:rPr>
        <w:t>το 2021–22</w:t>
      </w:r>
      <w:r w:rsidR="00283CC6" w:rsidRPr="00575A7E">
        <w:rPr>
          <w:rFonts w:ascii="Calibri" w:eastAsia="Calibri" w:hAnsi="Calibri" w:cs="Arial"/>
          <w:color w:val="595959"/>
        </w:rPr>
        <w:t xml:space="preserve">. Αυτές οι εξελίξεις </w:t>
      </w:r>
      <w:r w:rsidR="00AF1567">
        <w:rPr>
          <w:rFonts w:ascii="Calibri" w:eastAsia="Calibri" w:hAnsi="Calibri" w:cs="Arial"/>
          <w:color w:val="595959"/>
        </w:rPr>
        <w:t xml:space="preserve">υποδηλώνουν ότι η παγκόσμια οικονομία βρίσκεται σε </w:t>
      </w:r>
      <w:r w:rsidR="00283CC6" w:rsidRPr="00575A7E">
        <w:rPr>
          <w:rFonts w:ascii="Calibri" w:eastAsia="Calibri" w:hAnsi="Calibri" w:cs="Arial"/>
          <w:color w:val="595959"/>
        </w:rPr>
        <w:t>ένα ισχυρότερο σημείο εκκίνησης</w:t>
      </w:r>
      <w:r w:rsidR="00AF1567">
        <w:rPr>
          <w:rFonts w:ascii="Calibri" w:eastAsia="Calibri" w:hAnsi="Calibri" w:cs="Arial"/>
          <w:color w:val="595959"/>
        </w:rPr>
        <w:t xml:space="preserve"> από ότι αρχικά αναμένονταν, γεγονός που καθιστά πιο ευνοϊκές </w:t>
      </w:r>
      <w:r w:rsidR="00283CC6" w:rsidRPr="00575A7E">
        <w:rPr>
          <w:rFonts w:ascii="Calibri" w:eastAsia="Calibri" w:hAnsi="Calibri" w:cs="Arial"/>
          <w:color w:val="595959"/>
        </w:rPr>
        <w:t xml:space="preserve">τις προοπτικές για το τρέχον και το επόμενο έτος. Πιο συγκεκριμένα, σύμφωνα με τη πρόσφατη έκθεση του </w:t>
      </w:r>
      <w:hyperlink r:id="rId16" w:history="1">
        <w:r w:rsidR="00283CC6" w:rsidRPr="00575A7E">
          <w:rPr>
            <w:rStyle w:val="-"/>
            <w:rFonts w:ascii="Calibri" w:eastAsia="Calibri" w:hAnsi="Calibri" w:cs="Arial"/>
            <w:color w:val="595959"/>
          </w:rPr>
          <w:t>ΔΝΤ</w:t>
        </w:r>
      </w:hyperlink>
      <w:r w:rsidR="00283CC6" w:rsidRPr="00575A7E">
        <w:rPr>
          <w:rFonts w:ascii="Calibri" w:eastAsia="Calibri" w:hAnsi="Calibri" w:cs="Arial"/>
          <w:color w:val="595959"/>
        </w:rPr>
        <w:t xml:space="preserve"> (</w:t>
      </w:r>
      <w:r w:rsidR="00283CC6" w:rsidRPr="00575A7E">
        <w:rPr>
          <w:rFonts w:ascii="Calibri" w:eastAsia="Calibri" w:hAnsi="Calibri" w:cs="Arial"/>
          <w:color w:val="595959"/>
          <w:lang w:val="en-US"/>
        </w:rPr>
        <w:t>WEO</w:t>
      </w:r>
      <w:r w:rsidR="00283CC6" w:rsidRPr="00575A7E">
        <w:rPr>
          <w:rFonts w:ascii="Calibri" w:eastAsia="Calibri" w:hAnsi="Calibri" w:cs="Arial"/>
          <w:color w:val="595959"/>
        </w:rPr>
        <w:t xml:space="preserve">, </w:t>
      </w:r>
      <w:bookmarkStart w:id="15" w:name="_Hlk65347105"/>
      <w:r w:rsidR="00283CC6" w:rsidRPr="00575A7E">
        <w:rPr>
          <w:rFonts w:ascii="Calibri" w:eastAsia="Calibri" w:hAnsi="Calibri" w:cs="Arial"/>
          <w:color w:val="595959"/>
        </w:rPr>
        <w:t xml:space="preserve">Ιανουάριος </w:t>
      </w:r>
      <w:bookmarkEnd w:id="15"/>
      <w:r w:rsidR="00283CC6" w:rsidRPr="00575A7E">
        <w:rPr>
          <w:rFonts w:ascii="Calibri" w:eastAsia="Calibri" w:hAnsi="Calibri" w:cs="Arial"/>
          <w:color w:val="595959"/>
        </w:rPr>
        <w:t>202</w:t>
      </w:r>
      <w:r w:rsidR="002C23E9">
        <w:rPr>
          <w:rFonts w:ascii="Calibri" w:eastAsia="Calibri" w:hAnsi="Calibri" w:cs="Arial"/>
          <w:color w:val="595959"/>
        </w:rPr>
        <w:t>1</w:t>
      </w:r>
      <w:r w:rsidR="00283CC6" w:rsidRPr="00575A7E">
        <w:rPr>
          <w:rFonts w:ascii="Calibri" w:eastAsia="Calibri" w:hAnsi="Calibri" w:cs="Arial"/>
          <w:color w:val="595959"/>
        </w:rPr>
        <w:t xml:space="preserve">) η </w:t>
      </w:r>
      <w:r w:rsidR="00283CC6" w:rsidRPr="00575A7E">
        <w:rPr>
          <w:color w:val="595959"/>
        </w:rPr>
        <w:t>παγκόσμια ανάπτυξη για το 2021 προβλέπεται στο 5,5% αναθεωρημένη προς τα πάνω σε σχέση με τη πρόβλεψη του Οκτωβρίου (5,2%</w:t>
      </w:r>
      <w:r w:rsidR="00AF1567">
        <w:rPr>
          <w:color w:val="595959"/>
        </w:rPr>
        <w:t>,</w:t>
      </w:r>
      <w:r w:rsidR="00283CC6" w:rsidRPr="00575A7E">
        <w:rPr>
          <w:color w:val="595959"/>
        </w:rPr>
        <w:t xml:space="preserve"> </w:t>
      </w:r>
      <w:hyperlink r:id="rId17" w:history="1">
        <w:r w:rsidR="00283CC6" w:rsidRPr="00575A7E">
          <w:rPr>
            <w:rStyle w:val="-"/>
            <w:color w:val="595959"/>
          </w:rPr>
          <w:t>WEO Οκτώβριος 2020</w:t>
        </w:r>
      </w:hyperlink>
      <w:r w:rsidR="00283CC6" w:rsidRPr="00575A7E">
        <w:rPr>
          <w:color w:val="595959"/>
        </w:rPr>
        <w:t>), ενώ για το</w:t>
      </w:r>
      <w:r w:rsidR="00283CC6" w:rsidRPr="00575A7E">
        <w:rPr>
          <w:rFonts w:ascii="Calibri" w:eastAsia="Calibri" w:hAnsi="Calibri" w:cs="Arial"/>
          <w:color w:val="595959"/>
        </w:rPr>
        <w:t xml:space="preserve"> 2022 η </w:t>
      </w:r>
      <w:r w:rsidR="00AF1567">
        <w:rPr>
          <w:rFonts w:ascii="Calibri" w:eastAsia="Calibri" w:hAnsi="Calibri" w:cs="Arial"/>
          <w:color w:val="595959"/>
        </w:rPr>
        <w:t xml:space="preserve">παγκόσμια οικονομία αναμένεται να αναπτυχθεί με ρυθμό </w:t>
      </w:r>
      <w:r w:rsidR="002A5D86">
        <w:rPr>
          <w:color w:val="595959"/>
        </w:rPr>
        <w:t>4,2%.</w:t>
      </w:r>
      <w:r w:rsidR="00D64B36">
        <w:rPr>
          <w:color w:val="595959"/>
        </w:rPr>
        <w:t xml:space="preserve"> </w:t>
      </w:r>
      <w:r w:rsidR="00D64B36" w:rsidRPr="00575A7E">
        <w:rPr>
          <w:rFonts w:ascii="Calibri" w:hAnsi="Calibri" w:cs="Calibri"/>
          <w:color w:val="595959"/>
          <w:lang w:bidi="he-IL"/>
        </w:rPr>
        <w:t xml:space="preserve">Ο ΟΟΣΑ στην </w:t>
      </w:r>
      <w:hyperlink r:id="rId18" w:history="1">
        <w:r w:rsidR="00D64B36" w:rsidRPr="00575A7E">
          <w:rPr>
            <w:rStyle w:val="-"/>
            <w:rFonts w:ascii="Calibri" w:hAnsi="Calibri" w:cs="Calibri"/>
            <w:color w:val="595959"/>
            <w:lang w:bidi="he-IL"/>
          </w:rPr>
          <w:t xml:space="preserve">πρόσφατη </w:t>
        </w:r>
        <w:proofErr w:type="spellStart"/>
        <w:r w:rsidR="00D64B36" w:rsidRPr="00575A7E">
          <w:rPr>
            <w:rStyle w:val="-"/>
            <w:rFonts w:ascii="Calibri" w:hAnsi="Calibri" w:cs="Calibri"/>
            <w:color w:val="595959"/>
            <w:lang w:bidi="he-IL"/>
          </w:rPr>
          <w:t>επικαιροποίηση</w:t>
        </w:r>
        <w:proofErr w:type="spellEnd"/>
        <w:r w:rsidR="00D64B36" w:rsidRPr="00575A7E">
          <w:rPr>
            <w:rStyle w:val="-"/>
            <w:rFonts w:ascii="Calibri" w:hAnsi="Calibri" w:cs="Calibri"/>
            <w:color w:val="595959"/>
            <w:lang w:bidi="he-IL"/>
          </w:rPr>
          <w:t xml:space="preserve"> των προβλέψεών</w:t>
        </w:r>
      </w:hyperlink>
      <w:r w:rsidR="00D64B36" w:rsidRPr="00575A7E">
        <w:rPr>
          <w:rFonts w:ascii="Calibri" w:hAnsi="Calibri" w:cs="Calibri"/>
          <w:lang w:bidi="he-IL"/>
        </w:rPr>
        <w:t xml:space="preserve"> του</w:t>
      </w:r>
      <w:r w:rsidR="00D64B36" w:rsidRPr="00575A7E">
        <w:rPr>
          <w:rFonts w:ascii="Calibri" w:hAnsi="Calibri" w:cs="Calibri"/>
          <w:color w:val="595959"/>
          <w:lang w:bidi="he-IL"/>
        </w:rPr>
        <w:t xml:space="preserve"> (Μάρτιος 2021) εκτιμά</w:t>
      </w:r>
      <w:r w:rsidR="00D64B36">
        <w:rPr>
          <w:rFonts w:ascii="Calibri" w:hAnsi="Calibri" w:cs="Calibri"/>
          <w:color w:val="595959"/>
          <w:lang w:bidi="he-IL"/>
        </w:rPr>
        <w:t xml:space="preserve"> ότι η</w:t>
      </w:r>
      <w:r w:rsidR="00D64B36" w:rsidRPr="00575A7E">
        <w:rPr>
          <w:rFonts w:ascii="Calibri" w:hAnsi="Calibri" w:cs="Calibri"/>
          <w:color w:val="595959"/>
          <w:lang w:bidi="he-IL"/>
        </w:rPr>
        <w:t xml:space="preserve"> παγκόσμια οικονομία </w:t>
      </w:r>
      <w:r w:rsidR="00D64B36">
        <w:rPr>
          <w:rFonts w:ascii="Calibri" w:hAnsi="Calibri" w:cs="Calibri"/>
          <w:color w:val="595959"/>
          <w:lang w:bidi="he-IL"/>
        </w:rPr>
        <w:t xml:space="preserve">θα </w:t>
      </w:r>
      <w:r w:rsidR="00D64B36" w:rsidRPr="00575A7E">
        <w:rPr>
          <w:rFonts w:ascii="Calibri" w:hAnsi="Calibri" w:cs="Calibri"/>
          <w:color w:val="595959"/>
          <w:lang w:bidi="he-IL"/>
        </w:rPr>
        <w:t>μεγ</w:t>
      </w:r>
      <w:r w:rsidR="00D64B36">
        <w:rPr>
          <w:rFonts w:ascii="Calibri" w:hAnsi="Calibri" w:cs="Calibri"/>
          <w:color w:val="595959"/>
          <w:lang w:bidi="he-IL"/>
        </w:rPr>
        <w:t>εθυνθεί με ρυθμό</w:t>
      </w:r>
      <w:r w:rsidR="00D64B36" w:rsidRPr="00575A7E">
        <w:rPr>
          <w:rFonts w:ascii="Calibri" w:hAnsi="Calibri" w:cs="Calibri"/>
          <w:color w:val="595959"/>
          <w:lang w:bidi="he-IL"/>
        </w:rPr>
        <w:t xml:space="preserve"> 5,6% και 4,0% το 2021 και το 2022, αντίστοιχα (από 4,2% το 2021 και 3,7% το 2022 στη</w:t>
      </w:r>
      <w:r w:rsidR="004433B2">
        <w:rPr>
          <w:rFonts w:ascii="Calibri" w:hAnsi="Calibri" w:cs="Calibri"/>
          <w:color w:val="595959"/>
          <w:lang w:bidi="he-IL"/>
        </w:rPr>
        <w:t>ν</w:t>
      </w:r>
      <w:r w:rsidR="00D64B36" w:rsidRPr="00575A7E">
        <w:rPr>
          <w:rFonts w:ascii="Calibri" w:hAnsi="Calibri" w:cs="Calibri"/>
          <w:color w:val="595959"/>
          <w:lang w:bidi="he-IL"/>
        </w:rPr>
        <w:t xml:space="preserve"> </w:t>
      </w:r>
      <w:hyperlink r:id="rId19" w:history="1">
        <w:r w:rsidR="00D64B36" w:rsidRPr="00575A7E">
          <w:rPr>
            <w:rStyle w:val="-"/>
            <w:rFonts w:ascii="Calibri" w:hAnsi="Calibri" w:cs="Calibri"/>
            <w:color w:val="595959"/>
            <w:lang w:bidi="he-IL"/>
          </w:rPr>
          <w:t>πρόβλεψη του Δεκεμβρίου</w:t>
        </w:r>
      </w:hyperlink>
      <w:r w:rsidR="00D64B36" w:rsidRPr="00575A7E">
        <w:rPr>
          <w:rFonts w:ascii="Calibri" w:hAnsi="Calibri" w:cs="Calibri"/>
          <w:color w:val="595959"/>
          <w:lang w:bidi="he-IL"/>
        </w:rPr>
        <w:t>).</w:t>
      </w:r>
    </w:p>
    <w:p w14:paraId="43D1B3E1" w14:textId="7A468473" w:rsidR="00283CC6" w:rsidRPr="00575A7E" w:rsidRDefault="00283CC6" w:rsidP="003B1BE9">
      <w:pPr>
        <w:spacing w:line="276" w:lineRule="auto"/>
        <w:jc w:val="both"/>
        <w:rPr>
          <w:rFonts w:ascii="Calibri" w:eastAsia="Calibri" w:hAnsi="Calibri" w:cs="Times New Roman"/>
          <w:color w:val="595959"/>
        </w:rPr>
      </w:pPr>
      <w:r w:rsidRPr="00575A7E">
        <w:rPr>
          <w:rFonts w:ascii="Calibri" w:hAnsi="Calibri" w:cs="Calibri"/>
          <w:color w:val="595959"/>
          <w:lang w:bidi="he-IL"/>
        </w:rPr>
        <w:t xml:space="preserve">Η δυναμική της παγκόσμιας ανάπτυξης διαφοροποιείται μεταξύ των αναπτυγμένων και των αναπτυσσόμενων χωρών. Σύμφωνα με τις πρόσφατες προβλέψεις του </w:t>
      </w:r>
      <w:hyperlink r:id="rId20" w:history="1">
        <w:r w:rsidRPr="00575A7E">
          <w:rPr>
            <w:rStyle w:val="-"/>
            <w:color w:val="595959"/>
          </w:rPr>
          <w:t>ΔΝΤ</w:t>
        </w:r>
      </w:hyperlink>
      <w:r w:rsidR="005F224D">
        <w:t>,</w:t>
      </w:r>
      <w:r w:rsidRPr="00575A7E">
        <w:rPr>
          <w:rFonts w:ascii="Calibri" w:hAnsi="Calibri" w:cs="Calibri"/>
          <w:color w:val="595959"/>
          <w:lang w:bidi="he-IL"/>
        </w:rPr>
        <w:t xml:space="preserve"> στις αναπτυγμένες χώρες ο ρυθμός μεταβολής του ΑΕΠ διαμ</w:t>
      </w:r>
      <w:r w:rsidR="002A5D86">
        <w:rPr>
          <w:rFonts w:ascii="Calibri" w:hAnsi="Calibri" w:cs="Calibri"/>
          <w:color w:val="595959"/>
          <w:lang w:bidi="he-IL"/>
        </w:rPr>
        <w:t xml:space="preserve">ορφώθηκε στο -4,9% το 2020 και </w:t>
      </w:r>
      <w:r w:rsidRPr="00575A7E">
        <w:rPr>
          <w:rFonts w:ascii="Calibri" w:hAnsi="Calibri" w:cs="Calibri"/>
          <w:color w:val="595959"/>
          <w:lang w:bidi="he-IL"/>
        </w:rPr>
        <w:t xml:space="preserve">προβλέπεται να αυξηθεί στο 4,3% το 2021 και 3,1% το 2022. Το ΑΕΠ των ΗΠΑ μειώθηκε κατά 3,4% το 2020 και προβλέπεται να αυξηθεί κατά 5,1% το 2021 και 2,5% το 2022. Η </w:t>
      </w:r>
      <w:r w:rsidR="004A6FE4">
        <w:rPr>
          <w:rFonts w:ascii="Calibri" w:hAnsi="Calibri" w:cs="Calibri"/>
          <w:color w:val="595959"/>
          <w:lang w:bidi="he-IL"/>
        </w:rPr>
        <w:t>ι</w:t>
      </w:r>
      <w:r w:rsidRPr="00575A7E">
        <w:rPr>
          <w:rFonts w:ascii="Calibri" w:hAnsi="Calibri" w:cs="Calibri"/>
          <w:color w:val="595959"/>
          <w:lang w:bidi="he-IL"/>
        </w:rPr>
        <w:t xml:space="preserve">απωνική οικονομία συρρικνώθηκε κατά 5,1% το 2020 και προβλέπεται να </w:t>
      </w:r>
      <w:r w:rsidR="00AE737E">
        <w:rPr>
          <w:rFonts w:ascii="Calibri" w:hAnsi="Calibri" w:cs="Calibri"/>
          <w:color w:val="595959"/>
          <w:lang w:bidi="he-IL"/>
        </w:rPr>
        <w:t>μεγεθυνθεί</w:t>
      </w:r>
      <w:r w:rsidRPr="00575A7E">
        <w:rPr>
          <w:rFonts w:ascii="Calibri" w:hAnsi="Calibri" w:cs="Calibri"/>
          <w:color w:val="595959"/>
          <w:lang w:bidi="he-IL"/>
        </w:rPr>
        <w:t xml:space="preserve"> τόσο το 2021 όσο και το 2022 κατά 3,1% και 2,4% αντίστοιχα. Στην Ευρωζώ</w:t>
      </w:r>
      <w:r w:rsidR="00D62CFB">
        <w:rPr>
          <w:rFonts w:ascii="Calibri" w:hAnsi="Calibri" w:cs="Calibri"/>
          <w:color w:val="595959"/>
          <w:lang w:bidi="he-IL"/>
        </w:rPr>
        <w:t>νη, η ύφεση διαμορφώθηκε στο 6,6</w:t>
      </w:r>
      <w:r w:rsidRPr="00575A7E">
        <w:rPr>
          <w:rFonts w:ascii="Calibri" w:hAnsi="Calibri" w:cs="Calibri"/>
          <w:color w:val="595959"/>
          <w:lang w:bidi="he-IL"/>
        </w:rPr>
        <w:t>% το 2020 ενώ προβλέπονται θετικοί ρυθμοί μεγέθυνσης για το τρέχον και το επόμενο έτος κατά 4,2% και 3,6% αντίστοιχα.</w:t>
      </w:r>
      <w:r w:rsidRPr="00575A7E">
        <w:rPr>
          <w:rFonts w:ascii="Calibri" w:eastAsia="Calibri" w:hAnsi="Calibri" w:cs="Times New Roman"/>
          <w:color w:val="595959"/>
        </w:rPr>
        <w:t xml:space="preserve"> </w:t>
      </w:r>
    </w:p>
    <w:p w14:paraId="5EEE9CB2" w14:textId="2B212297" w:rsidR="00F41A91" w:rsidRPr="00575A7E" w:rsidRDefault="00283CC6" w:rsidP="003B1BE9">
      <w:pPr>
        <w:spacing w:line="276" w:lineRule="auto"/>
        <w:jc w:val="both"/>
        <w:rPr>
          <w:rFonts w:ascii="Calibri" w:hAnsi="Calibri" w:cs="Calibri"/>
          <w:color w:val="595959"/>
          <w:lang w:bidi="he-IL"/>
        </w:rPr>
      </w:pPr>
      <w:r w:rsidRPr="00575A7E">
        <w:rPr>
          <w:rFonts w:ascii="Calibri" w:hAnsi="Calibri" w:cs="Calibri"/>
          <w:color w:val="595959"/>
          <w:lang w:bidi="he-IL"/>
        </w:rPr>
        <w:t xml:space="preserve">Για τις αναπτυσσόμενες οικονομίες, το ΑΕΠ μειώθηκε κατά 2,4% το 2020 και προβλέπεται να αυξηθεί κατά 6,3% το 2021 και 5,0% το 2022. </w:t>
      </w:r>
      <w:r w:rsidR="00D64B36">
        <w:rPr>
          <w:rFonts w:ascii="Calibri" w:hAnsi="Calibri" w:cs="Calibri"/>
          <w:color w:val="595959"/>
          <w:lang w:bidi="he-IL"/>
        </w:rPr>
        <w:t>Η</w:t>
      </w:r>
      <w:r w:rsidRPr="00575A7E">
        <w:rPr>
          <w:rFonts w:ascii="Calibri" w:hAnsi="Calibri" w:cs="Calibri"/>
          <w:color w:val="595959"/>
          <w:lang w:bidi="he-IL"/>
        </w:rPr>
        <w:t xml:space="preserve"> κινέζικη οικονομία</w:t>
      </w:r>
      <w:r w:rsidR="00D64B36">
        <w:rPr>
          <w:rFonts w:ascii="Calibri" w:hAnsi="Calibri" w:cs="Calibri"/>
          <w:color w:val="595959"/>
          <w:lang w:bidi="he-IL"/>
        </w:rPr>
        <w:t xml:space="preserve"> μεγεθύνθηκε με ρυθμό </w:t>
      </w:r>
      <w:r w:rsidRPr="00575A7E">
        <w:rPr>
          <w:rFonts w:ascii="Calibri" w:hAnsi="Calibri" w:cs="Calibri"/>
          <w:color w:val="595959"/>
          <w:lang w:bidi="he-IL"/>
        </w:rPr>
        <w:t xml:space="preserve">2,3% το 2020 και προβλέπεται να </w:t>
      </w:r>
      <w:r w:rsidR="00D64B36">
        <w:rPr>
          <w:rFonts w:ascii="Calibri" w:hAnsi="Calibri" w:cs="Calibri"/>
          <w:color w:val="595959"/>
          <w:lang w:bidi="he-IL"/>
        </w:rPr>
        <w:t>αναπτυχθεί με ρυθμό</w:t>
      </w:r>
      <w:r w:rsidRPr="00575A7E">
        <w:rPr>
          <w:rFonts w:ascii="Calibri" w:hAnsi="Calibri" w:cs="Calibri"/>
          <w:color w:val="595959"/>
          <w:lang w:bidi="he-IL"/>
        </w:rPr>
        <w:t xml:space="preserve"> 8,1% το τρέχον έτος και 5,6% το 2022. Η οικονομία της Ινδίας συρρικνώθηκε κατά 8,0% το 2020 και αναμένεται να </w:t>
      </w:r>
      <w:r w:rsidR="00AE737E">
        <w:rPr>
          <w:rFonts w:ascii="Calibri" w:hAnsi="Calibri" w:cs="Calibri"/>
          <w:color w:val="595959"/>
          <w:lang w:bidi="he-IL"/>
        </w:rPr>
        <w:t>μεγεθυνθεί</w:t>
      </w:r>
      <w:r w:rsidRPr="00575A7E">
        <w:rPr>
          <w:rFonts w:ascii="Calibri" w:hAnsi="Calibri" w:cs="Calibri"/>
          <w:color w:val="595959"/>
          <w:lang w:bidi="he-IL"/>
        </w:rPr>
        <w:t xml:space="preserve"> κατά 11,5% το 2021 και 6,8% το 2022.</w:t>
      </w:r>
    </w:p>
    <w:p w14:paraId="02FE5054" w14:textId="7E1AC96E" w:rsidR="00283CC6" w:rsidRPr="00575A7E" w:rsidRDefault="00283CC6" w:rsidP="003B1BE9">
      <w:pPr>
        <w:spacing w:line="276" w:lineRule="auto"/>
        <w:jc w:val="both"/>
        <w:rPr>
          <w:rFonts w:ascii="Calibri" w:hAnsi="Calibri" w:cs="Calibri"/>
          <w:i/>
          <w:iCs/>
          <w:color w:val="595959"/>
          <w:lang w:bidi="he-IL"/>
        </w:rPr>
      </w:pPr>
      <w:r w:rsidRPr="00575A7E">
        <w:rPr>
          <w:rFonts w:ascii="Calibri" w:hAnsi="Calibri" w:cs="Calibri"/>
          <w:color w:val="595959"/>
          <w:lang w:bidi="he-IL"/>
        </w:rPr>
        <w:t xml:space="preserve">Οι </w:t>
      </w:r>
      <w:hyperlink r:id="rId21" w:history="1">
        <w:r w:rsidRPr="00575A7E">
          <w:rPr>
            <w:rStyle w:val="-"/>
            <w:rFonts w:ascii="Calibri" w:hAnsi="Calibri" w:cs="Calibri"/>
            <w:color w:val="595959"/>
            <w:lang w:bidi="he-IL"/>
          </w:rPr>
          <w:t>Χειμερινές Προβλέψεις</w:t>
        </w:r>
      </w:hyperlink>
      <w:hyperlink r:id="rId22" w:history="1"/>
      <w:r w:rsidRPr="00575A7E">
        <w:rPr>
          <w:rFonts w:ascii="Calibri" w:hAnsi="Calibri" w:cs="Calibri"/>
          <w:color w:val="595959"/>
          <w:lang w:bidi="he-IL"/>
        </w:rPr>
        <w:t xml:space="preserve"> (Φεβρουάριος 202</w:t>
      </w:r>
      <w:r w:rsidR="0025795A" w:rsidRPr="00575A7E">
        <w:rPr>
          <w:rFonts w:ascii="Calibri" w:hAnsi="Calibri" w:cs="Calibri"/>
          <w:color w:val="595959"/>
          <w:lang w:bidi="he-IL"/>
        </w:rPr>
        <w:t>1</w:t>
      </w:r>
      <w:r w:rsidRPr="00575A7E">
        <w:rPr>
          <w:rFonts w:ascii="Calibri" w:hAnsi="Calibri" w:cs="Calibri"/>
          <w:color w:val="595959"/>
          <w:lang w:bidi="he-IL"/>
        </w:rPr>
        <w:t>) της Ευρωπαϊκής Επιτροπής για την Ευρωζώνη αναθεωρήθηκαν προς τα πάνω για το 2022</w:t>
      </w:r>
      <w:r w:rsidR="005F224D">
        <w:rPr>
          <w:rFonts w:ascii="Calibri" w:hAnsi="Calibri" w:cs="Calibri"/>
          <w:color w:val="595959"/>
          <w:lang w:bidi="he-IL"/>
        </w:rPr>
        <w:t>,</w:t>
      </w:r>
      <w:r w:rsidRPr="00575A7E">
        <w:rPr>
          <w:rFonts w:ascii="Calibri" w:hAnsi="Calibri" w:cs="Calibri"/>
          <w:color w:val="595959"/>
          <w:lang w:bidi="he-IL"/>
        </w:rPr>
        <w:t xml:space="preserve"> ενώ προς τα </w:t>
      </w:r>
      <w:bookmarkStart w:id="16" w:name="_Hlk65416548"/>
      <w:r w:rsidRPr="00575A7E">
        <w:rPr>
          <w:rFonts w:ascii="Calibri" w:hAnsi="Calibri" w:cs="Calibri"/>
          <w:color w:val="595959"/>
          <w:lang w:bidi="he-IL"/>
        </w:rPr>
        <w:t xml:space="preserve">κάτω </w:t>
      </w:r>
      <w:bookmarkEnd w:id="16"/>
      <w:r w:rsidRPr="00575A7E">
        <w:rPr>
          <w:rFonts w:ascii="Calibri" w:hAnsi="Calibri" w:cs="Calibri"/>
          <w:color w:val="595959"/>
          <w:lang w:bidi="he-IL"/>
        </w:rPr>
        <w:t xml:space="preserve">ήταν η αναθεώρηση για το 2021 σε σύγκριση με τις </w:t>
      </w:r>
      <w:hyperlink r:id="rId23" w:history="1">
        <w:r w:rsidRPr="00575A7E">
          <w:rPr>
            <w:rStyle w:val="-"/>
            <w:rFonts w:ascii="Calibri" w:hAnsi="Calibri" w:cs="Calibri"/>
            <w:color w:val="595959"/>
            <w:lang w:bidi="he-IL"/>
          </w:rPr>
          <w:t>Φθινοπωρινές Προβλέψεις</w:t>
        </w:r>
      </w:hyperlink>
      <w:r w:rsidRPr="00575A7E">
        <w:rPr>
          <w:rFonts w:ascii="Calibri" w:hAnsi="Calibri" w:cs="Calibri"/>
          <w:color w:val="595959"/>
          <w:lang w:bidi="he-IL"/>
        </w:rPr>
        <w:t xml:space="preserve"> (Νοέμβριος 2020). Συγκεκριμένα, προβλέπεται ανάκαμψη 3,8% τόσο για το 2021 </w:t>
      </w:r>
      <w:bookmarkStart w:id="17" w:name="_Hlk65417439"/>
      <w:r w:rsidRPr="00575A7E">
        <w:rPr>
          <w:rFonts w:ascii="Calibri" w:hAnsi="Calibri" w:cs="Calibri"/>
          <w:color w:val="595959"/>
          <w:lang w:bidi="he-IL"/>
        </w:rPr>
        <w:t>(από 4,2% στις Φθινοπωρινές Προβλέψεις)</w:t>
      </w:r>
      <w:bookmarkEnd w:id="17"/>
      <w:r w:rsidR="002A5D86">
        <w:rPr>
          <w:rFonts w:ascii="Calibri" w:hAnsi="Calibri" w:cs="Calibri"/>
          <w:color w:val="595959"/>
          <w:lang w:bidi="he-IL"/>
        </w:rPr>
        <w:t xml:space="preserve"> </w:t>
      </w:r>
      <w:r w:rsidRPr="00575A7E">
        <w:rPr>
          <w:rFonts w:ascii="Calibri" w:hAnsi="Calibri" w:cs="Calibri"/>
          <w:color w:val="595959"/>
          <w:lang w:bidi="he-IL"/>
        </w:rPr>
        <w:t xml:space="preserve">όσο και το 2022 (από 3,0% στις Φθινοπωρινές Προβλέψεις). </w:t>
      </w:r>
    </w:p>
    <w:p w14:paraId="715C5D10" w14:textId="77777777" w:rsidR="00283CC6" w:rsidRPr="00575A7E" w:rsidRDefault="00283CC6" w:rsidP="003B1BE9">
      <w:pPr>
        <w:spacing w:after="0" w:line="276" w:lineRule="auto"/>
        <w:jc w:val="both"/>
      </w:pPr>
      <w:r w:rsidRPr="00575A7E">
        <w:rPr>
          <w:color w:val="595959"/>
        </w:rPr>
        <w:lastRenderedPageBreak/>
        <w:t xml:space="preserve">Σημαντική αύξηση κατέγραψε και ο </w:t>
      </w:r>
      <w:hyperlink r:id="rId24" w:history="1">
        <w:r w:rsidRPr="00575A7E">
          <w:rPr>
            <w:rFonts w:ascii="Calibri" w:hAnsi="Calibri" w:cs="Calibri"/>
            <w:color w:val="595959"/>
            <w:u w:val="single"/>
            <w:lang w:bidi="he-IL"/>
          </w:rPr>
          <w:t>δείκτης αβεβαιότητας παγκόσμιας οικονομικής πολιτικής (</w:t>
        </w:r>
        <w:proofErr w:type="spellStart"/>
        <w:r w:rsidRPr="00575A7E">
          <w:rPr>
            <w:rFonts w:ascii="Calibri" w:hAnsi="Calibri" w:cs="Calibri"/>
            <w:color w:val="595959"/>
            <w:u w:val="single"/>
            <w:lang w:bidi="he-IL"/>
          </w:rPr>
          <w:t>Global</w:t>
        </w:r>
        <w:proofErr w:type="spellEnd"/>
        <w:r w:rsidRPr="00575A7E">
          <w:rPr>
            <w:rFonts w:ascii="Calibri" w:hAnsi="Calibri" w:cs="Calibri"/>
            <w:color w:val="595959"/>
            <w:u w:val="single"/>
            <w:lang w:bidi="he-IL"/>
          </w:rPr>
          <w:t xml:space="preserve"> Economic Policy </w:t>
        </w:r>
        <w:proofErr w:type="spellStart"/>
        <w:r w:rsidRPr="00575A7E">
          <w:rPr>
            <w:rFonts w:ascii="Calibri" w:hAnsi="Calibri" w:cs="Calibri"/>
            <w:color w:val="595959"/>
            <w:u w:val="single"/>
            <w:lang w:bidi="he-IL"/>
          </w:rPr>
          <w:t>Uncertainty</w:t>
        </w:r>
        <w:proofErr w:type="spellEnd"/>
        <w:r w:rsidRPr="00575A7E">
          <w:rPr>
            <w:rFonts w:ascii="Calibri" w:hAnsi="Calibri" w:cs="Calibri"/>
            <w:color w:val="595959"/>
            <w:u w:val="single"/>
            <w:lang w:bidi="he-IL"/>
          </w:rPr>
          <w:t>, GEPU)</w:t>
        </w:r>
      </w:hyperlink>
      <w:r w:rsidRPr="00575A7E">
        <w:rPr>
          <w:color w:val="595959"/>
        </w:rPr>
        <w:t xml:space="preserve"> που διαμορφώθηκε σε ιστορικά υψηλά επίπεδα </w:t>
      </w:r>
      <w:r w:rsidR="00CE06ED" w:rsidRPr="00575A7E">
        <w:rPr>
          <w:color w:val="595959"/>
        </w:rPr>
        <w:t xml:space="preserve">από </w:t>
      </w:r>
      <w:r w:rsidRPr="00575A7E">
        <w:rPr>
          <w:color w:val="595959"/>
        </w:rPr>
        <w:t xml:space="preserve">τον Απρίλιο του 2020, ως συνέπεια αφενός της αλματώδους εξάπλωσης της πανδημίας του </w:t>
      </w:r>
      <w:proofErr w:type="spellStart"/>
      <w:r w:rsidRPr="00575A7E">
        <w:rPr>
          <w:color w:val="595959"/>
        </w:rPr>
        <w:t>κορωνοϊού</w:t>
      </w:r>
      <w:proofErr w:type="spellEnd"/>
      <w:r w:rsidRPr="00575A7E">
        <w:rPr>
          <w:color w:val="595959"/>
        </w:rPr>
        <w:t xml:space="preserve"> COVID-19</w:t>
      </w:r>
      <w:r w:rsidR="00D64B36">
        <w:rPr>
          <w:color w:val="595959"/>
        </w:rPr>
        <w:t xml:space="preserve">, </w:t>
      </w:r>
      <w:r w:rsidRPr="00575A7E">
        <w:rPr>
          <w:color w:val="595959"/>
        </w:rPr>
        <w:t xml:space="preserve">αφετέρου της αβεβαιότητας για τα μέτρα οικονομικής πολιτικής που </w:t>
      </w:r>
      <w:r w:rsidR="00D26A8F" w:rsidRPr="00575A7E">
        <w:rPr>
          <w:color w:val="595959"/>
        </w:rPr>
        <w:t>επρόκειτο να</w:t>
      </w:r>
      <w:r w:rsidRPr="00575A7E">
        <w:rPr>
          <w:color w:val="595959"/>
        </w:rPr>
        <w:t xml:space="preserve"> υιοθετηθούν για να εξέλθει η παγκόσμια οικονομία από την ύφεση. Ωστόσο, είναι εμφανής η υποχώρηση του δείκτη κατά τον Ιανουάριο του 2021.</w:t>
      </w:r>
    </w:p>
    <w:p w14:paraId="7F6B11A4" w14:textId="77777777" w:rsidR="00283CC6" w:rsidRPr="00575A7E" w:rsidRDefault="00283CC6" w:rsidP="003B1BE9">
      <w:pPr>
        <w:spacing w:after="0" w:line="276" w:lineRule="auto"/>
        <w:jc w:val="both"/>
        <w:rPr>
          <w:rFonts w:ascii="Calibri" w:eastAsia="Calibri" w:hAnsi="Calibri" w:cs="Times New Roman"/>
          <w:noProof/>
          <w:color w:val="595959"/>
        </w:rPr>
      </w:pPr>
    </w:p>
    <w:p w14:paraId="4990C7D3" w14:textId="77777777" w:rsidR="00283CC6" w:rsidRPr="00575A7E" w:rsidRDefault="00283CC6" w:rsidP="003B1BE9">
      <w:pPr>
        <w:keepNext/>
        <w:framePr w:dropCap="drop" w:lines="3" w:h="894" w:hRule="exact" w:wrap="around" w:vAnchor="text" w:hAnchor="text" w:y="14"/>
        <w:spacing w:after="0" w:line="276" w:lineRule="auto"/>
        <w:jc w:val="both"/>
        <w:textAlignment w:val="baseline"/>
      </w:pPr>
    </w:p>
    <w:p w14:paraId="524EBE3F" w14:textId="10EC2EE2" w:rsidR="00283CC6" w:rsidRPr="00575A7E" w:rsidRDefault="00D960BC" w:rsidP="00D960BC">
      <w:pPr>
        <w:pStyle w:val="ae"/>
        <w:jc w:val="center"/>
      </w:pPr>
      <w:bookmarkStart w:id="18" w:name="_Toc56073784"/>
      <w:bookmarkStart w:id="19" w:name="_Toc67396691"/>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1</w:t>
      </w:r>
      <w:r w:rsidR="0096217C">
        <w:rPr>
          <w:noProof/>
        </w:rPr>
        <w:fldChar w:fldCharType="end"/>
      </w:r>
      <w:r w:rsidR="0032120C" w:rsidRPr="00CB2429">
        <w:t xml:space="preserve"> </w:t>
      </w:r>
      <w:r w:rsidR="00283CC6" w:rsidRPr="00575A7E">
        <w:t>Δείκτης αβεβαιότητας διεθνούς οικονομικής πολιτικής (GEPU)</w:t>
      </w:r>
      <w:bookmarkEnd w:id="18"/>
      <w:bookmarkEnd w:id="19"/>
    </w:p>
    <w:p w14:paraId="31E55380" w14:textId="77777777" w:rsidR="00283CC6" w:rsidRPr="00575A7E" w:rsidRDefault="00283CC6" w:rsidP="003B1BE9">
      <w:pPr>
        <w:spacing w:after="0" w:line="276" w:lineRule="auto"/>
        <w:jc w:val="center"/>
        <w:rPr>
          <w:rFonts w:ascii="Calibri" w:eastAsia="Calibri" w:hAnsi="Calibri" w:cs="Times New Roman"/>
          <w:color w:val="595959" w:themeColor="text1" w:themeTint="A6"/>
        </w:rPr>
      </w:pPr>
      <w:r w:rsidRPr="00575A7E">
        <w:rPr>
          <w:rFonts w:ascii="Calibri" w:eastAsia="Calibri" w:hAnsi="Calibri" w:cs="Times New Roman"/>
          <w:noProof/>
          <w:color w:val="595959" w:themeColor="text1" w:themeTint="A6"/>
          <w:lang w:eastAsia="el-GR"/>
        </w:rPr>
        <w:drawing>
          <wp:inline distT="0" distB="0" distL="0" distR="0" wp14:anchorId="0C6B96D2" wp14:editId="1685A918">
            <wp:extent cx="4287600" cy="24336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7600" cy="2433600"/>
                    </a:xfrm>
                    <a:prstGeom prst="rect">
                      <a:avLst/>
                    </a:prstGeom>
                  </pic:spPr>
                </pic:pic>
              </a:graphicData>
            </a:graphic>
          </wp:inline>
        </w:drawing>
      </w:r>
    </w:p>
    <w:p w14:paraId="45C11C75" w14:textId="77777777" w:rsidR="00283CC6" w:rsidRPr="00575A7E" w:rsidRDefault="00283CC6" w:rsidP="003B1BE9">
      <w:pPr>
        <w:spacing w:after="0" w:line="276" w:lineRule="auto"/>
        <w:jc w:val="center"/>
        <w:rPr>
          <w:rFonts w:ascii="Calibri" w:eastAsia="Calibri" w:hAnsi="Calibri" w:cs="Times New Roman"/>
          <w:color w:val="595959" w:themeColor="text1" w:themeTint="A6"/>
          <w:lang w:val="en-US"/>
        </w:rPr>
      </w:pPr>
    </w:p>
    <w:p w14:paraId="1C6D8EDF" w14:textId="0858F985" w:rsidR="00283CC6" w:rsidRPr="00575A7E" w:rsidRDefault="00283CC6" w:rsidP="003B1BE9">
      <w:pPr>
        <w:spacing w:line="276" w:lineRule="auto"/>
        <w:jc w:val="both"/>
        <w:rPr>
          <w:rFonts w:ascii="Calibri" w:eastAsia="Calibri" w:hAnsi="Calibri" w:cs="Times New Roman"/>
          <w:color w:val="595959"/>
        </w:rPr>
      </w:pPr>
      <w:r w:rsidRPr="00575A7E">
        <w:rPr>
          <w:rFonts w:ascii="Calibri" w:eastAsia="Calibri" w:hAnsi="Calibri" w:cs="Times New Roman"/>
          <w:color w:val="595959"/>
        </w:rPr>
        <w:t>Η αβεβαιότητα και οι κίνδυνοι που περιβάλλουν την παγκόσμια και</w:t>
      </w:r>
      <w:r w:rsidR="00D64B36">
        <w:rPr>
          <w:rFonts w:ascii="Calibri" w:eastAsia="Calibri" w:hAnsi="Calibri" w:cs="Times New Roman"/>
          <w:color w:val="595959"/>
        </w:rPr>
        <w:t xml:space="preserve"> την</w:t>
      </w:r>
      <w:r w:rsidRPr="00575A7E">
        <w:rPr>
          <w:rFonts w:ascii="Calibri" w:eastAsia="Calibri" w:hAnsi="Calibri" w:cs="Times New Roman"/>
          <w:color w:val="595959"/>
        </w:rPr>
        <w:t xml:space="preserve"> </w:t>
      </w:r>
      <w:r w:rsidR="00D77776">
        <w:rPr>
          <w:rFonts w:ascii="Calibri" w:eastAsia="Calibri" w:hAnsi="Calibri" w:cs="Times New Roman"/>
          <w:color w:val="595959"/>
        </w:rPr>
        <w:t>ε</w:t>
      </w:r>
      <w:r w:rsidRPr="00575A7E">
        <w:rPr>
          <w:rFonts w:ascii="Calibri" w:eastAsia="Calibri" w:hAnsi="Calibri" w:cs="Times New Roman"/>
          <w:color w:val="595959"/>
        </w:rPr>
        <w:t xml:space="preserve">υρωπαϊκή οικονομία παραμένουν αυξημένοι. </w:t>
      </w:r>
      <w:r w:rsidR="00D64B36">
        <w:rPr>
          <w:rFonts w:ascii="Calibri" w:eastAsia="Calibri" w:hAnsi="Calibri" w:cs="Times New Roman"/>
          <w:color w:val="595959"/>
        </w:rPr>
        <w:t>Οι μελλοντικοί κίνδυνοι σ</w:t>
      </w:r>
      <w:r w:rsidRPr="00575A7E">
        <w:rPr>
          <w:rFonts w:ascii="Calibri" w:eastAsia="Calibri" w:hAnsi="Calibri" w:cs="Times New Roman"/>
          <w:color w:val="595959"/>
        </w:rPr>
        <w:t xml:space="preserve">υνδέονται καθοριστικά με την εξέλιξη της πανδημίας και την </w:t>
      </w:r>
      <w:r w:rsidR="00D64B36">
        <w:rPr>
          <w:rFonts w:ascii="Calibri" w:eastAsia="Calibri" w:hAnsi="Calibri" w:cs="Times New Roman"/>
          <w:color w:val="595959"/>
        </w:rPr>
        <w:t>πρόοδο του</w:t>
      </w:r>
      <w:r w:rsidRPr="00575A7E">
        <w:rPr>
          <w:rFonts w:ascii="Calibri" w:eastAsia="Calibri" w:hAnsi="Calibri" w:cs="Times New Roman"/>
          <w:color w:val="595959"/>
        </w:rPr>
        <w:t xml:space="preserve"> εμβολιασμού. </w:t>
      </w:r>
      <w:r w:rsidRPr="007E6575">
        <w:rPr>
          <w:rFonts w:ascii="Calibri" w:eastAsia="Calibri" w:hAnsi="Calibri" w:cs="Times New Roman"/>
          <w:color w:val="595959"/>
        </w:rPr>
        <w:t xml:space="preserve">Σε σύγκριση με το φθινόπωρο, </w:t>
      </w:r>
      <w:r w:rsidR="00F8681F" w:rsidRPr="007E6575">
        <w:rPr>
          <w:rFonts w:ascii="Calibri" w:eastAsia="Calibri" w:hAnsi="Calibri" w:cs="Times New Roman"/>
          <w:color w:val="595959"/>
        </w:rPr>
        <w:t>η αβεβαιότητα έχει υποχωρήσει</w:t>
      </w:r>
      <w:r w:rsidRPr="007E6575">
        <w:rPr>
          <w:rFonts w:ascii="Calibri" w:eastAsia="Calibri" w:hAnsi="Calibri" w:cs="Times New Roman"/>
          <w:color w:val="595959"/>
        </w:rPr>
        <w:t xml:space="preserve"> καθώς ορισμένοι κίνδυνοι έχουν μειωθεί και ορισμένοι θετικοί παράγοντες έχουν υλοποιηθεί</w:t>
      </w:r>
      <w:r w:rsidRPr="00575A7E">
        <w:rPr>
          <w:rFonts w:ascii="Calibri" w:eastAsia="Calibri" w:hAnsi="Calibri" w:cs="Times New Roman"/>
          <w:color w:val="595959"/>
        </w:rPr>
        <w:t>. Αυτό σχετίζεται πρωτίστως με την έγκριση</w:t>
      </w:r>
      <w:r w:rsidR="00842EB3">
        <w:rPr>
          <w:rFonts w:ascii="Calibri" w:eastAsia="Calibri" w:hAnsi="Calibri" w:cs="Times New Roman"/>
          <w:color w:val="595959"/>
        </w:rPr>
        <w:t xml:space="preserve"> από τις αρμόδιες υγειονομικές αρχές</w:t>
      </w:r>
      <w:r w:rsidRPr="00575A7E">
        <w:rPr>
          <w:rFonts w:ascii="Calibri" w:eastAsia="Calibri" w:hAnsi="Calibri" w:cs="Times New Roman"/>
          <w:color w:val="595959"/>
        </w:rPr>
        <w:t xml:space="preserve"> </w:t>
      </w:r>
      <w:r w:rsidR="00842EB3">
        <w:rPr>
          <w:rFonts w:ascii="Calibri" w:eastAsia="Calibri" w:hAnsi="Calibri" w:cs="Times New Roman"/>
          <w:color w:val="595959"/>
        </w:rPr>
        <w:t xml:space="preserve">πολλών </w:t>
      </w:r>
      <w:r w:rsidRPr="00575A7E">
        <w:rPr>
          <w:rFonts w:ascii="Calibri" w:eastAsia="Calibri" w:hAnsi="Calibri" w:cs="Times New Roman"/>
          <w:color w:val="595959"/>
        </w:rPr>
        <w:t xml:space="preserve">εμβολίων </w:t>
      </w:r>
      <w:r w:rsidR="00842EB3">
        <w:rPr>
          <w:rFonts w:ascii="Calibri" w:eastAsia="Calibri" w:hAnsi="Calibri" w:cs="Times New Roman"/>
          <w:color w:val="595959"/>
        </w:rPr>
        <w:t xml:space="preserve">κατά του </w:t>
      </w:r>
      <w:r w:rsidRPr="00575A7E">
        <w:rPr>
          <w:rFonts w:ascii="Calibri" w:eastAsia="Calibri" w:hAnsi="Calibri" w:cs="Times New Roman"/>
          <w:color w:val="595959"/>
        </w:rPr>
        <w:t xml:space="preserve">COVID-19, με τη </w:t>
      </w:r>
      <w:r w:rsidR="00842EB3">
        <w:rPr>
          <w:rFonts w:ascii="Calibri" w:eastAsia="Calibri" w:hAnsi="Calibri" w:cs="Times New Roman"/>
          <w:color w:val="595959"/>
        </w:rPr>
        <w:t xml:space="preserve">σύναψη </w:t>
      </w:r>
      <w:r w:rsidRPr="00575A7E">
        <w:rPr>
          <w:rFonts w:ascii="Calibri" w:eastAsia="Calibri" w:hAnsi="Calibri" w:cs="Times New Roman"/>
          <w:color w:val="595959"/>
        </w:rPr>
        <w:t>συμφωνία</w:t>
      </w:r>
      <w:r w:rsidR="00842EB3">
        <w:rPr>
          <w:rFonts w:ascii="Calibri" w:eastAsia="Calibri" w:hAnsi="Calibri" w:cs="Times New Roman"/>
          <w:color w:val="595959"/>
        </w:rPr>
        <w:t>ς</w:t>
      </w:r>
      <w:r w:rsidRPr="00575A7E">
        <w:rPr>
          <w:rFonts w:ascii="Calibri" w:eastAsia="Calibri" w:hAnsi="Calibri" w:cs="Times New Roman"/>
          <w:color w:val="595959"/>
        </w:rPr>
        <w:t xml:space="preserve"> εμπορίου και συνεργασίας μεταξύ της ΕΕ και του Ηνωμένου Βασιλείου που μειώνει το κόστος αποχώρησης του Ηνωμένου Βασιλείου από την </w:t>
      </w:r>
      <w:r w:rsidR="00842EB3">
        <w:rPr>
          <w:rFonts w:ascii="Calibri" w:eastAsia="Calibri" w:hAnsi="Calibri" w:cs="Times New Roman"/>
          <w:color w:val="595959"/>
        </w:rPr>
        <w:t>ΕΕ</w:t>
      </w:r>
      <w:r w:rsidRPr="00575A7E">
        <w:rPr>
          <w:rFonts w:ascii="Calibri" w:eastAsia="Calibri" w:hAnsi="Calibri" w:cs="Times New Roman"/>
          <w:color w:val="595959"/>
        </w:rPr>
        <w:t xml:space="preserve">, καθώς και </w:t>
      </w:r>
      <w:r w:rsidR="00842EB3">
        <w:rPr>
          <w:rFonts w:ascii="Calibri" w:eastAsia="Calibri" w:hAnsi="Calibri" w:cs="Times New Roman"/>
          <w:color w:val="595959"/>
        </w:rPr>
        <w:t xml:space="preserve">με </w:t>
      </w:r>
      <w:r w:rsidRPr="00575A7E">
        <w:rPr>
          <w:rFonts w:ascii="Calibri" w:eastAsia="Calibri" w:hAnsi="Calibri" w:cs="Times New Roman"/>
          <w:color w:val="595959"/>
        </w:rPr>
        <w:t xml:space="preserve">τον </w:t>
      </w:r>
      <w:r w:rsidR="00842EB3">
        <w:rPr>
          <w:rFonts w:ascii="Calibri" w:eastAsia="Calibri" w:hAnsi="Calibri" w:cs="Times New Roman"/>
          <w:color w:val="595959"/>
        </w:rPr>
        <w:t>περιορισμό των εμπορικών εντάσεων.</w:t>
      </w:r>
    </w:p>
    <w:p w14:paraId="320EB6BD" w14:textId="77777777" w:rsidR="00283CC6" w:rsidRPr="00575A7E" w:rsidRDefault="00283CC6" w:rsidP="003B1BE9">
      <w:pPr>
        <w:spacing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Μεγάλες αβεβαιότητες περιβάλλουν σχεδόν κάθε πτυχή της πανδημίας και καθιστούν δύσκολη τη συνολική ποσοτική και ποιοτική αξιολόγηση της μεταβολής των οικονομικών μεγεθών, καθώς οι πυκνές και </w:t>
      </w:r>
      <w:proofErr w:type="spellStart"/>
      <w:r w:rsidRPr="00575A7E">
        <w:rPr>
          <w:rFonts w:ascii="Calibri" w:eastAsia="Calibri" w:hAnsi="Calibri" w:cs="Times New Roman"/>
          <w:color w:val="595959"/>
        </w:rPr>
        <w:t>πολυ</w:t>
      </w:r>
      <w:proofErr w:type="spellEnd"/>
      <w:r w:rsidRPr="00575A7E">
        <w:rPr>
          <w:rFonts w:ascii="Calibri" w:eastAsia="Calibri" w:hAnsi="Calibri" w:cs="Times New Roman"/>
          <w:color w:val="595959"/>
        </w:rPr>
        <w:t>-επίπεδες παγκόσμιες εξελίξεις και πολιτικές των τελευταίων μηνών άλλοτε επηρεάζουν προς τη θετική πλευρά και άλλοτε προς την αρνητική πλευρά.</w:t>
      </w:r>
    </w:p>
    <w:p w14:paraId="79852D33" w14:textId="77777777" w:rsidR="00283CC6" w:rsidRPr="001C1DF1" w:rsidRDefault="00283CC6" w:rsidP="003B1BE9">
      <w:pPr>
        <w:spacing w:line="276" w:lineRule="auto"/>
        <w:jc w:val="both"/>
        <w:rPr>
          <w:color w:val="595959"/>
          <w:lang w:val="en-US"/>
        </w:rPr>
      </w:pPr>
      <w:r w:rsidRPr="00575A7E">
        <w:rPr>
          <w:color w:val="595959"/>
        </w:rPr>
        <w:t>Προς τη θετική πλευρά</w:t>
      </w:r>
      <w:r w:rsidR="005F224D">
        <w:rPr>
          <w:color w:val="595959"/>
          <w:lang w:val="en-US"/>
        </w:rPr>
        <w:t>:</w:t>
      </w:r>
    </w:p>
    <w:p w14:paraId="0523F4BE" w14:textId="77777777" w:rsidR="00283CC6" w:rsidRPr="00575A7E" w:rsidRDefault="00283CC6" w:rsidP="003B1BE9">
      <w:pPr>
        <w:numPr>
          <w:ilvl w:val="0"/>
          <w:numId w:val="5"/>
        </w:numPr>
        <w:autoSpaceDE w:val="0"/>
        <w:autoSpaceDN w:val="0"/>
        <w:adjustRightInd w:val="0"/>
        <w:spacing w:after="0" w:line="276" w:lineRule="auto"/>
        <w:contextualSpacing/>
        <w:jc w:val="both"/>
        <w:rPr>
          <w:rFonts w:ascii="Calibri" w:eastAsia="Calibri" w:hAnsi="Calibri" w:cs="Calibri"/>
          <w:color w:val="595959"/>
        </w:rPr>
      </w:pPr>
      <w:r w:rsidRPr="00575A7E">
        <w:rPr>
          <w:rFonts w:ascii="Calibri" w:eastAsia="Calibri" w:hAnsi="Calibri" w:cs="Calibri"/>
          <w:color w:val="595959"/>
          <w:lang w:val="en-US"/>
        </w:rPr>
        <w:t>H</w:t>
      </w:r>
      <w:r w:rsidRPr="00575A7E">
        <w:rPr>
          <w:rFonts w:ascii="Calibri" w:eastAsia="Calibri" w:hAnsi="Calibri" w:cs="Calibri"/>
          <w:color w:val="595959"/>
        </w:rPr>
        <w:t xml:space="preserve"> επιτάχυνση της διαδικασίας εμβολιασμού μπορεί να οδηγήσει σε ταχύτερη </w:t>
      </w:r>
      <w:r w:rsidR="00842EB3">
        <w:rPr>
          <w:rFonts w:ascii="Calibri" w:eastAsia="Calibri" w:hAnsi="Calibri" w:cs="Calibri"/>
          <w:color w:val="595959"/>
        </w:rPr>
        <w:t>άρση</w:t>
      </w:r>
      <w:r w:rsidR="00842EB3" w:rsidRPr="00575A7E">
        <w:rPr>
          <w:rFonts w:ascii="Calibri" w:eastAsia="Calibri" w:hAnsi="Calibri" w:cs="Calibri"/>
          <w:color w:val="595959"/>
        </w:rPr>
        <w:t xml:space="preserve"> </w:t>
      </w:r>
      <w:r w:rsidRPr="00575A7E">
        <w:rPr>
          <w:rFonts w:ascii="Calibri" w:eastAsia="Calibri" w:hAnsi="Calibri" w:cs="Calibri"/>
          <w:color w:val="595959"/>
        </w:rPr>
        <w:t>των μέτρων περιορισμού και κατά συνέπεια σε μια ταχύτερη και ισχυρότερη ανάκαμψη.</w:t>
      </w:r>
    </w:p>
    <w:p w14:paraId="4F70D033" w14:textId="77777777" w:rsidR="00283CC6" w:rsidRPr="00575A7E" w:rsidRDefault="00283CC6" w:rsidP="003B1BE9">
      <w:pPr>
        <w:numPr>
          <w:ilvl w:val="0"/>
          <w:numId w:val="5"/>
        </w:numPr>
        <w:autoSpaceDE w:val="0"/>
        <w:autoSpaceDN w:val="0"/>
        <w:adjustRightInd w:val="0"/>
        <w:spacing w:after="0" w:line="276" w:lineRule="auto"/>
        <w:contextualSpacing/>
        <w:jc w:val="both"/>
        <w:rPr>
          <w:rFonts w:ascii="Calibri" w:eastAsia="Calibri" w:hAnsi="Calibri" w:cs="Calibri"/>
          <w:color w:val="595959"/>
        </w:rPr>
      </w:pPr>
      <w:r w:rsidRPr="00575A7E">
        <w:rPr>
          <w:rFonts w:ascii="Calibri" w:eastAsia="Calibri" w:hAnsi="Calibri" w:cs="Calibri"/>
          <w:color w:val="595959"/>
        </w:rPr>
        <w:t xml:space="preserve">Η οικονομική ανάπτυξη θα μπορούσε να επωφεληθεί από μια έκρηξη αισιοδοξίας μετά την κρίση, η οποία θα μπορούσε να απελευθερώσει τη ζήτηση και τις </w:t>
      </w:r>
      <w:r w:rsidRPr="00575A7E">
        <w:rPr>
          <w:rFonts w:ascii="Calibri" w:eastAsia="Calibri" w:hAnsi="Calibri" w:cs="Calibri"/>
          <w:color w:val="595959"/>
        </w:rPr>
        <w:lastRenderedPageBreak/>
        <w:t>επενδύσεις, χάρη στην ιστορικά υψηλή αποταμίευση των νοικοκυριών, το χαμηλό κόστος χρηματοδότησης και την υποστηρικτική δημοσιονομική πολιτική.</w:t>
      </w:r>
    </w:p>
    <w:p w14:paraId="35F010B1" w14:textId="1862462E" w:rsidR="00283CC6" w:rsidRPr="00575A7E" w:rsidRDefault="00283CC6" w:rsidP="003B1BE9">
      <w:pPr>
        <w:numPr>
          <w:ilvl w:val="0"/>
          <w:numId w:val="5"/>
        </w:numPr>
        <w:autoSpaceDE w:val="0"/>
        <w:autoSpaceDN w:val="0"/>
        <w:adjustRightInd w:val="0"/>
        <w:spacing w:after="0" w:line="276" w:lineRule="auto"/>
        <w:contextualSpacing/>
        <w:jc w:val="both"/>
        <w:rPr>
          <w:rFonts w:ascii="Calibri" w:eastAsia="Calibri" w:hAnsi="Calibri" w:cs="Calibri"/>
          <w:color w:val="595959"/>
        </w:rPr>
      </w:pPr>
      <w:r w:rsidRPr="00575A7E">
        <w:rPr>
          <w:color w:val="595959"/>
        </w:rPr>
        <w:t xml:space="preserve">Το αποτέλεσμα των προεδρικών εκλογών των ΗΠΑ σηματοδοτεί </w:t>
      </w:r>
      <w:r w:rsidR="00842EB3">
        <w:rPr>
          <w:color w:val="595959"/>
        </w:rPr>
        <w:t xml:space="preserve">μείωση των κινδύνων </w:t>
      </w:r>
      <w:r w:rsidR="002A5D86">
        <w:rPr>
          <w:color w:val="595959"/>
        </w:rPr>
        <w:t xml:space="preserve">που σχετίζονται με </w:t>
      </w:r>
      <w:r w:rsidR="00842EB3">
        <w:rPr>
          <w:color w:val="595959"/>
        </w:rPr>
        <w:t xml:space="preserve">διεθνείς </w:t>
      </w:r>
      <w:r w:rsidRPr="00575A7E">
        <w:rPr>
          <w:color w:val="595959"/>
        </w:rPr>
        <w:t>εμπορικ</w:t>
      </w:r>
      <w:r w:rsidR="00842EB3">
        <w:rPr>
          <w:color w:val="595959"/>
        </w:rPr>
        <w:t xml:space="preserve">ές </w:t>
      </w:r>
      <w:r w:rsidRPr="00575A7E">
        <w:rPr>
          <w:color w:val="595959"/>
        </w:rPr>
        <w:t>εντάσε</w:t>
      </w:r>
      <w:r w:rsidR="00842EB3">
        <w:rPr>
          <w:color w:val="595959"/>
        </w:rPr>
        <w:t>ις</w:t>
      </w:r>
      <w:r w:rsidRPr="00575A7E">
        <w:rPr>
          <w:color w:val="595959"/>
        </w:rPr>
        <w:t>.</w:t>
      </w:r>
    </w:p>
    <w:p w14:paraId="55BD19CF" w14:textId="77777777" w:rsidR="00283CC6" w:rsidRPr="00575A7E" w:rsidRDefault="00283CC6" w:rsidP="003B1BE9">
      <w:pPr>
        <w:numPr>
          <w:ilvl w:val="0"/>
          <w:numId w:val="5"/>
        </w:numPr>
        <w:autoSpaceDE w:val="0"/>
        <w:autoSpaceDN w:val="0"/>
        <w:adjustRightInd w:val="0"/>
        <w:spacing w:after="0" w:line="276" w:lineRule="auto"/>
        <w:contextualSpacing/>
        <w:jc w:val="both"/>
        <w:rPr>
          <w:rFonts w:ascii="Calibri" w:eastAsia="Calibri" w:hAnsi="Calibri" w:cs="Calibri"/>
          <w:color w:val="595959"/>
        </w:rPr>
      </w:pPr>
      <w:r w:rsidRPr="00575A7E">
        <w:rPr>
          <w:rFonts w:ascii="Calibri" w:eastAsia="Calibri" w:hAnsi="Calibri" w:cs="Calibri"/>
          <w:color w:val="595959"/>
        </w:rPr>
        <w:t>Όσον αφορά την ΕΕ</w:t>
      </w:r>
      <w:r w:rsidR="007425CE">
        <w:rPr>
          <w:rFonts w:ascii="Calibri" w:eastAsia="Calibri" w:hAnsi="Calibri" w:cs="Calibri"/>
          <w:color w:val="595959"/>
        </w:rPr>
        <w:t>,</w:t>
      </w:r>
      <w:r w:rsidRPr="00575A7E">
        <w:rPr>
          <w:rFonts w:ascii="Calibri" w:eastAsia="Calibri" w:hAnsi="Calibri" w:cs="Calibri"/>
          <w:color w:val="595959"/>
        </w:rPr>
        <w:t xml:space="preserve"> </w:t>
      </w:r>
      <w:r w:rsidR="00842EB3">
        <w:rPr>
          <w:rFonts w:ascii="Calibri" w:eastAsia="Calibri" w:hAnsi="Calibri" w:cs="Calibri"/>
          <w:color w:val="595959"/>
        </w:rPr>
        <w:t>η</w:t>
      </w:r>
      <w:r w:rsidRPr="00575A7E">
        <w:rPr>
          <w:rFonts w:ascii="Calibri" w:eastAsia="Calibri" w:hAnsi="Calibri" w:cs="Calibri"/>
          <w:color w:val="595959"/>
        </w:rPr>
        <w:t xml:space="preserve"> ταχεία εφαρμογή του προγράμματος του </w:t>
      </w:r>
      <w:r w:rsidRPr="00575A7E">
        <w:rPr>
          <w:rFonts w:ascii="Calibri" w:eastAsia="Calibri" w:hAnsi="Calibri" w:cs="Calibri"/>
          <w:color w:val="595959"/>
          <w:lang w:val="en-US"/>
        </w:rPr>
        <w:t>Next</w:t>
      </w:r>
      <w:r w:rsidRPr="00575A7E">
        <w:rPr>
          <w:rFonts w:ascii="Calibri" w:eastAsia="Calibri" w:hAnsi="Calibri" w:cs="Calibri"/>
          <w:color w:val="595959"/>
        </w:rPr>
        <w:t xml:space="preserve"> </w:t>
      </w:r>
      <w:r w:rsidRPr="00575A7E">
        <w:rPr>
          <w:rFonts w:ascii="Calibri" w:eastAsia="Calibri" w:hAnsi="Calibri" w:cs="Calibri"/>
          <w:color w:val="595959"/>
          <w:lang w:val="en-US"/>
        </w:rPr>
        <w:t>Generation</w:t>
      </w:r>
      <w:r w:rsidRPr="00575A7E">
        <w:rPr>
          <w:rFonts w:ascii="Calibri" w:eastAsia="Calibri" w:hAnsi="Calibri" w:cs="Calibri"/>
          <w:color w:val="595959"/>
        </w:rPr>
        <w:t xml:space="preserve"> EU θα δώσει ισχυρή ώθηση στην </w:t>
      </w:r>
      <w:r w:rsidR="00842EB3">
        <w:rPr>
          <w:rFonts w:ascii="Calibri" w:eastAsia="Calibri" w:hAnsi="Calibri" w:cs="Calibri"/>
          <w:color w:val="595959"/>
        </w:rPr>
        <w:t xml:space="preserve">ευρωπαϊκή </w:t>
      </w:r>
      <w:r w:rsidRPr="00575A7E">
        <w:rPr>
          <w:rFonts w:ascii="Calibri" w:eastAsia="Calibri" w:hAnsi="Calibri" w:cs="Calibri"/>
          <w:color w:val="595959"/>
        </w:rPr>
        <w:t>οικονομία.</w:t>
      </w:r>
    </w:p>
    <w:p w14:paraId="52940D4A" w14:textId="3FB5298E" w:rsidR="00283CC6" w:rsidRPr="00575A7E" w:rsidRDefault="00842EB3" w:rsidP="003B1BE9">
      <w:pPr>
        <w:numPr>
          <w:ilvl w:val="0"/>
          <w:numId w:val="5"/>
        </w:numPr>
        <w:autoSpaceDE w:val="0"/>
        <w:autoSpaceDN w:val="0"/>
        <w:adjustRightInd w:val="0"/>
        <w:spacing w:after="0" w:line="276" w:lineRule="auto"/>
        <w:contextualSpacing/>
        <w:jc w:val="both"/>
        <w:rPr>
          <w:rFonts w:ascii="Calibri" w:eastAsia="Calibri" w:hAnsi="Calibri" w:cs="Calibri"/>
          <w:color w:val="595959"/>
        </w:rPr>
      </w:pPr>
      <w:r>
        <w:rPr>
          <w:rFonts w:ascii="Calibri" w:eastAsia="Calibri" w:hAnsi="Calibri" w:cs="Calibri"/>
          <w:color w:val="595959"/>
        </w:rPr>
        <w:t xml:space="preserve">Η επεκτατική </w:t>
      </w:r>
      <w:r w:rsidR="00283CC6" w:rsidRPr="00575A7E">
        <w:rPr>
          <w:rFonts w:ascii="Calibri" w:eastAsia="Calibri" w:hAnsi="Calibri" w:cs="Calibri"/>
          <w:color w:val="595959"/>
        </w:rPr>
        <w:t xml:space="preserve">δημοσιονομική πολιτική </w:t>
      </w:r>
      <w:r>
        <w:rPr>
          <w:rFonts w:ascii="Calibri" w:eastAsia="Calibri" w:hAnsi="Calibri" w:cs="Calibri"/>
          <w:color w:val="595959"/>
        </w:rPr>
        <w:t>σε αρκετές χώρες έχει</w:t>
      </w:r>
      <w:r w:rsidR="00283CC6" w:rsidRPr="00575A7E">
        <w:rPr>
          <w:rFonts w:ascii="Calibri" w:eastAsia="Calibri" w:hAnsi="Calibri" w:cs="Calibri"/>
          <w:color w:val="595959"/>
        </w:rPr>
        <w:t xml:space="preserve"> ευνοϊκές επιπτώσεις για την παγκόσμια οικονομική δραστηριότητα.</w:t>
      </w:r>
    </w:p>
    <w:p w14:paraId="14CEA9BA" w14:textId="77777777" w:rsidR="00283CC6" w:rsidRPr="00575A7E" w:rsidRDefault="00283CC6" w:rsidP="003B1BE9">
      <w:pPr>
        <w:autoSpaceDE w:val="0"/>
        <w:autoSpaceDN w:val="0"/>
        <w:adjustRightInd w:val="0"/>
        <w:spacing w:after="0" w:line="276" w:lineRule="auto"/>
        <w:contextualSpacing/>
        <w:jc w:val="both"/>
        <w:rPr>
          <w:rFonts w:ascii="Calibri" w:eastAsia="Calibri" w:hAnsi="Calibri" w:cs="Calibri"/>
          <w:color w:val="595959"/>
        </w:rPr>
      </w:pPr>
    </w:p>
    <w:p w14:paraId="5751EFE1" w14:textId="77777777" w:rsidR="00283CC6" w:rsidRPr="001C1DF1" w:rsidRDefault="00283CC6" w:rsidP="003B1BE9">
      <w:pPr>
        <w:spacing w:after="0" w:line="276" w:lineRule="auto"/>
        <w:jc w:val="both"/>
        <w:rPr>
          <w:rFonts w:ascii="Calibri" w:eastAsia="Calibri" w:hAnsi="Calibri" w:cs="Times New Roman"/>
          <w:color w:val="595959"/>
          <w:lang w:val="en-US"/>
        </w:rPr>
      </w:pPr>
      <w:bookmarkStart w:id="20" w:name="_Hlk65446876"/>
      <w:r w:rsidRPr="00575A7E">
        <w:rPr>
          <w:rFonts w:ascii="Calibri" w:eastAsia="Calibri" w:hAnsi="Calibri" w:cs="Times New Roman"/>
          <w:color w:val="595959"/>
        </w:rPr>
        <w:t>Προς την αρνητική πλευρά</w:t>
      </w:r>
      <w:bookmarkEnd w:id="20"/>
      <w:r w:rsidR="005F224D">
        <w:rPr>
          <w:rFonts w:ascii="Calibri" w:eastAsia="Calibri" w:hAnsi="Calibri" w:cs="Times New Roman"/>
          <w:color w:val="595959"/>
          <w:lang w:val="en-US"/>
        </w:rPr>
        <w:t>:</w:t>
      </w:r>
    </w:p>
    <w:p w14:paraId="7D6C6420" w14:textId="77777777" w:rsidR="00283CC6" w:rsidRPr="00575A7E" w:rsidRDefault="00283CC6" w:rsidP="003B1BE9">
      <w:pPr>
        <w:spacing w:after="0" w:line="276" w:lineRule="auto"/>
        <w:jc w:val="both"/>
        <w:rPr>
          <w:rFonts w:ascii="Calibri" w:eastAsia="Calibri" w:hAnsi="Calibri" w:cs="Times New Roman"/>
          <w:color w:val="595959"/>
        </w:rPr>
      </w:pPr>
    </w:p>
    <w:p w14:paraId="424A1437" w14:textId="77777777" w:rsidR="00283CC6" w:rsidRPr="00575A7E" w:rsidRDefault="00283CC6" w:rsidP="003B1BE9">
      <w:pPr>
        <w:numPr>
          <w:ilvl w:val="0"/>
          <w:numId w:val="5"/>
        </w:num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Υπάρχει ο κίνδυνος εξάπλωσης </w:t>
      </w:r>
      <w:r w:rsidR="00842EB3">
        <w:rPr>
          <w:rFonts w:ascii="Calibri" w:eastAsia="Calibri" w:hAnsi="Calibri" w:cs="Times New Roman"/>
          <w:color w:val="595959"/>
        </w:rPr>
        <w:t xml:space="preserve">νέων μεταλλάξεων του </w:t>
      </w:r>
      <w:proofErr w:type="spellStart"/>
      <w:r w:rsidR="00842EB3">
        <w:rPr>
          <w:rFonts w:ascii="Calibri" w:eastAsia="Calibri" w:hAnsi="Calibri" w:cs="Times New Roman"/>
          <w:color w:val="595959"/>
        </w:rPr>
        <w:t>κορωνοϊού</w:t>
      </w:r>
      <w:proofErr w:type="spellEnd"/>
      <w:r w:rsidR="00842EB3">
        <w:rPr>
          <w:rFonts w:ascii="Calibri" w:eastAsia="Calibri" w:hAnsi="Calibri" w:cs="Times New Roman"/>
          <w:color w:val="595959"/>
        </w:rPr>
        <w:t xml:space="preserve"> </w:t>
      </w:r>
      <w:r w:rsidRPr="00575A7E">
        <w:rPr>
          <w:rFonts w:ascii="Calibri" w:eastAsia="Calibri" w:hAnsi="Calibri" w:cs="Times New Roman"/>
          <w:color w:val="595959"/>
        </w:rPr>
        <w:t>που</w:t>
      </w:r>
      <w:r w:rsidR="00390125">
        <w:rPr>
          <w:rFonts w:ascii="Calibri" w:eastAsia="Calibri" w:hAnsi="Calibri" w:cs="Times New Roman"/>
          <w:color w:val="595959"/>
        </w:rPr>
        <w:t>,</w:t>
      </w:r>
      <w:r w:rsidRPr="00575A7E">
        <w:rPr>
          <w:rFonts w:ascii="Calibri" w:eastAsia="Calibri" w:hAnsi="Calibri" w:cs="Times New Roman"/>
          <w:color w:val="595959"/>
        </w:rPr>
        <w:t xml:space="preserve"> σε συνδυασμό με</w:t>
      </w:r>
      <w:r w:rsidR="00842EB3">
        <w:rPr>
          <w:rFonts w:ascii="Calibri" w:eastAsia="Calibri" w:hAnsi="Calibri" w:cs="Times New Roman"/>
          <w:color w:val="595959"/>
        </w:rPr>
        <w:t xml:space="preserve"> μια ενδεχόμενη</w:t>
      </w:r>
      <w:r w:rsidRPr="00575A7E">
        <w:rPr>
          <w:rFonts w:ascii="Calibri" w:eastAsia="Calibri" w:hAnsi="Calibri" w:cs="Times New Roman"/>
          <w:color w:val="595959"/>
        </w:rPr>
        <w:t xml:space="preserve"> επιβράδυνση της διαδικασίας εμβολιασμού, θα μπορούσε να καθυστερήσει την άρση των </w:t>
      </w:r>
      <w:r w:rsidR="00842EB3">
        <w:rPr>
          <w:rFonts w:ascii="Calibri" w:eastAsia="Calibri" w:hAnsi="Calibri" w:cs="Times New Roman"/>
          <w:color w:val="595959"/>
        </w:rPr>
        <w:t xml:space="preserve">περιοριστικών </w:t>
      </w:r>
      <w:r w:rsidRPr="00575A7E">
        <w:rPr>
          <w:rFonts w:ascii="Calibri" w:eastAsia="Calibri" w:hAnsi="Calibri" w:cs="Times New Roman"/>
          <w:color w:val="595959"/>
        </w:rPr>
        <w:t xml:space="preserve">μέτρων </w:t>
      </w:r>
      <w:r w:rsidR="002A0129">
        <w:rPr>
          <w:rFonts w:ascii="Calibri" w:eastAsia="Calibri" w:hAnsi="Calibri" w:cs="Times New Roman"/>
          <w:color w:val="595959"/>
        </w:rPr>
        <w:t xml:space="preserve">επηρεάζοντας αρνητικά </w:t>
      </w:r>
      <w:r w:rsidRPr="00575A7E">
        <w:rPr>
          <w:rFonts w:ascii="Calibri" w:eastAsia="Calibri" w:hAnsi="Calibri" w:cs="Times New Roman"/>
          <w:color w:val="595959"/>
        </w:rPr>
        <w:t>την εμπιστοσύνη, διατηρώντας την προληπτική αποταμίευση σε υψηλά επίπεδα και καθυστερώντας τις επενδυτικές αποφάσεις.</w:t>
      </w:r>
    </w:p>
    <w:p w14:paraId="2EF64DBC" w14:textId="4A0E8947" w:rsidR="00283CC6" w:rsidRPr="00575A7E" w:rsidRDefault="002A0129" w:rsidP="003B1BE9">
      <w:pPr>
        <w:numPr>
          <w:ilvl w:val="0"/>
          <w:numId w:val="5"/>
        </w:numPr>
        <w:spacing w:after="0" w:line="276" w:lineRule="auto"/>
        <w:jc w:val="both"/>
        <w:rPr>
          <w:rFonts w:ascii="Calibri" w:eastAsia="Calibri" w:hAnsi="Calibri" w:cs="Times New Roman"/>
          <w:color w:val="595959"/>
        </w:rPr>
      </w:pPr>
      <w:r>
        <w:rPr>
          <w:rFonts w:ascii="Calibri" w:eastAsia="Calibri" w:hAnsi="Calibri" w:cs="Times New Roman"/>
          <w:color w:val="595959"/>
        </w:rPr>
        <w:t>Κ</w:t>
      </w:r>
      <w:r w:rsidR="00CE06ED" w:rsidRPr="00575A7E">
        <w:rPr>
          <w:rFonts w:ascii="Calibri" w:eastAsia="Calibri" w:hAnsi="Calibri" w:cs="Times New Roman"/>
          <w:color w:val="595959"/>
        </w:rPr>
        <w:t xml:space="preserve">αθυστερήσεις στη διάθεση των εμβολίων, διστακτικότητα από την πλευρά των πολιτών να εμβολιαστούν και περιορισμένη αποτελεσματικότητα </w:t>
      </w:r>
      <w:r>
        <w:rPr>
          <w:rFonts w:ascii="Calibri" w:eastAsia="Calibri" w:hAnsi="Calibri" w:cs="Times New Roman"/>
          <w:color w:val="595959"/>
        </w:rPr>
        <w:t>των εμβο</w:t>
      </w:r>
      <w:r w:rsidR="002A5D86">
        <w:rPr>
          <w:rFonts w:ascii="Calibri" w:eastAsia="Calibri" w:hAnsi="Calibri" w:cs="Times New Roman"/>
          <w:color w:val="595959"/>
        </w:rPr>
        <w:t>λίων όσον αφορά τη διάρκεια της</w:t>
      </w:r>
      <w:r w:rsidR="00CE06ED" w:rsidRPr="00575A7E">
        <w:rPr>
          <w:rFonts w:ascii="Calibri" w:eastAsia="Calibri" w:hAnsi="Calibri" w:cs="Times New Roman"/>
          <w:color w:val="595959"/>
        </w:rPr>
        <w:t xml:space="preserve"> ανοσία</w:t>
      </w:r>
      <w:r>
        <w:rPr>
          <w:rFonts w:ascii="Calibri" w:eastAsia="Calibri" w:hAnsi="Calibri" w:cs="Times New Roman"/>
          <w:color w:val="595959"/>
        </w:rPr>
        <w:t>ς</w:t>
      </w:r>
      <w:r w:rsidR="00CE06ED" w:rsidRPr="00575A7E">
        <w:rPr>
          <w:rFonts w:ascii="Calibri" w:eastAsia="Calibri" w:hAnsi="Calibri" w:cs="Times New Roman"/>
          <w:color w:val="595959"/>
        </w:rPr>
        <w:t xml:space="preserve"> που προσφέρουν μπορούν να παρατείνουν τα περιοριστικά μέτρα</w:t>
      </w:r>
      <w:r>
        <w:rPr>
          <w:rFonts w:ascii="Calibri" w:eastAsia="Calibri" w:hAnsi="Calibri" w:cs="Times New Roman"/>
          <w:color w:val="595959"/>
        </w:rPr>
        <w:t xml:space="preserve"> και να καθυστερήσουν την έξοδο από την κρίση.</w:t>
      </w:r>
    </w:p>
    <w:p w14:paraId="3A10F146" w14:textId="7345DF7A" w:rsidR="00283CC6" w:rsidRDefault="00CE06ED" w:rsidP="003B1BE9">
      <w:pPr>
        <w:numPr>
          <w:ilvl w:val="0"/>
          <w:numId w:val="5"/>
        </w:num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Η </w:t>
      </w:r>
      <w:r w:rsidR="00283CC6" w:rsidRPr="00575A7E">
        <w:rPr>
          <w:rFonts w:ascii="Calibri" w:eastAsia="Calibri" w:hAnsi="Calibri" w:cs="Times New Roman"/>
          <w:color w:val="595959"/>
        </w:rPr>
        <w:t>κρίση θα μπορούσε επίσης να αφήσει βαθύτερα σημάδια</w:t>
      </w:r>
      <w:r w:rsidR="002E6151" w:rsidRPr="00575A7E">
        <w:t xml:space="preserve"> </w:t>
      </w:r>
      <w:r w:rsidR="002E6151" w:rsidRPr="00575A7E">
        <w:rPr>
          <w:rFonts w:ascii="Calibri" w:eastAsia="Calibri" w:hAnsi="Calibri" w:cs="Times New Roman"/>
          <w:color w:val="595959"/>
        </w:rPr>
        <w:t>από ό</w:t>
      </w:r>
      <w:r w:rsidR="00C9033D">
        <w:rPr>
          <w:rFonts w:ascii="Calibri" w:eastAsia="Calibri" w:hAnsi="Calibri" w:cs="Times New Roman"/>
          <w:color w:val="595959"/>
        </w:rPr>
        <w:t>,</w:t>
      </w:r>
      <w:r w:rsidR="002E6151" w:rsidRPr="00575A7E">
        <w:rPr>
          <w:rFonts w:ascii="Calibri" w:eastAsia="Calibri" w:hAnsi="Calibri" w:cs="Times New Roman"/>
          <w:color w:val="595959"/>
        </w:rPr>
        <w:t>τι είχε αρχικά προβλεφθεί</w:t>
      </w:r>
      <w:r w:rsidR="00283CC6" w:rsidRPr="00575A7E">
        <w:rPr>
          <w:rFonts w:ascii="Calibri" w:eastAsia="Calibri" w:hAnsi="Calibri" w:cs="Times New Roman"/>
          <w:color w:val="595959"/>
        </w:rPr>
        <w:t xml:space="preserve"> στις οικονομίες και τις κοινωνίες σε παγκόσμια κλίμακα, </w:t>
      </w:r>
      <w:r w:rsidR="002A0129">
        <w:rPr>
          <w:rFonts w:ascii="Calibri" w:eastAsia="Calibri" w:hAnsi="Calibri" w:cs="Times New Roman"/>
          <w:color w:val="595959"/>
        </w:rPr>
        <w:t xml:space="preserve">όπως για παράδειγμα αύξηση των </w:t>
      </w:r>
      <w:r w:rsidR="00283CC6" w:rsidRPr="00575A7E">
        <w:rPr>
          <w:rFonts w:ascii="Calibri" w:eastAsia="Calibri" w:hAnsi="Calibri" w:cs="Times New Roman"/>
          <w:color w:val="595959"/>
        </w:rPr>
        <w:t>πτωχεύσεων και υψηλότερη ανεργία καθώς θα αίρονται τα μέτρα στήριξης. Οι αφερεγγυότητες με τη σειρά τους θα οδηγήσουν σε αύξηση των μη εξυπηρετούμενων δανείων, προκαλώντας πίεση στον τραπεζικό τομέα και στις χρηματοπιστωτικές αγορές.</w:t>
      </w:r>
    </w:p>
    <w:p w14:paraId="3704EB50" w14:textId="77777777" w:rsidR="00AE737E" w:rsidRPr="00AE737E" w:rsidRDefault="00AE737E" w:rsidP="00AE737E">
      <w:pPr>
        <w:numPr>
          <w:ilvl w:val="0"/>
          <w:numId w:val="5"/>
        </w:num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Οι αυστηρότερες χρηματοοικονομικές συνθήκες θα μπορούσαν να αυξήσουν τους κινδύνους </w:t>
      </w:r>
      <w:proofErr w:type="spellStart"/>
      <w:r w:rsidRPr="00575A7E">
        <w:rPr>
          <w:rFonts w:ascii="Calibri" w:eastAsia="Calibri" w:hAnsi="Calibri" w:cs="Times New Roman"/>
          <w:color w:val="595959"/>
        </w:rPr>
        <w:t>αναχρηματοδότησης</w:t>
      </w:r>
      <w:proofErr w:type="spellEnd"/>
      <w:r w:rsidRPr="00575A7E">
        <w:rPr>
          <w:rFonts w:ascii="Calibri" w:eastAsia="Calibri" w:hAnsi="Calibri" w:cs="Times New Roman"/>
          <w:color w:val="595959"/>
        </w:rPr>
        <w:t xml:space="preserve"> για τους ευάλωτους δανειολήπτες, αυξάνοντας </w:t>
      </w:r>
      <w:r>
        <w:rPr>
          <w:rFonts w:ascii="Calibri" w:eastAsia="Calibri" w:hAnsi="Calibri" w:cs="Times New Roman"/>
          <w:color w:val="595959"/>
        </w:rPr>
        <w:t>τα μη εξυπηρετούμενα δάνεια με αρνητικές επιπτώσεις στη χρηματοπιστωτική σταθερότητα και τη δυνατότητα του τραπεζικού συστήματος να χρηματοδοτήσει την ανάκαμψης της οικονομίας.</w:t>
      </w:r>
    </w:p>
    <w:p w14:paraId="52C43095" w14:textId="77777777" w:rsidR="00283CC6" w:rsidRPr="00575A7E" w:rsidRDefault="00283CC6" w:rsidP="003B1BE9">
      <w:pPr>
        <w:numPr>
          <w:ilvl w:val="0"/>
          <w:numId w:val="7"/>
        </w:numPr>
        <w:spacing w:after="0" w:line="276" w:lineRule="auto"/>
        <w:jc w:val="both"/>
        <w:rPr>
          <w:rFonts w:ascii="Calibri" w:eastAsia="Calibri" w:hAnsi="Calibri" w:cs="Times New Roman"/>
          <w:color w:val="595959"/>
        </w:rPr>
      </w:pPr>
      <w:r w:rsidRPr="00575A7E">
        <w:rPr>
          <w:rFonts w:ascii="Calibri" w:eastAsia="Calibri" w:hAnsi="Calibri" w:cs="Times New Roman"/>
          <w:color w:val="595959"/>
          <w:lang w:val="en-US"/>
        </w:rPr>
        <w:t>H</w:t>
      </w:r>
      <w:r w:rsidRPr="00575A7E">
        <w:rPr>
          <w:rFonts w:ascii="Calibri" w:eastAsia="Calibri" w:hAnsi="Calibri" w:cs="Times New Roman"/>
          <w:color w:val="595959"/>
        </w:rPr>
        <w:t xml:space="preserve"> πρόωρη διακοπή της επεκτατικής δημοσιονομικής και νομισματικής πολιτικής θα μπορούσε να επιβραδύνει την ανάκαμψη, να ενισχύσει την αβεβαιότητα, την ανεργία και κατ' επέκταση </w:t>
      </w:r>
      <w:r w:rsidR="004D2A7F" w:rsidRPr="00575A7E">
        <w:rPr>
          <w:rFonts w:ascii="Calibri" w:eastAsia="Calibri" w:hAnsi="Calibri" w:cs="Times New Roman"/>
          <w:color w:val="595959"/>
        </w:rPr>
        <w:t xml:space="preserve">την κοινωνική </w:t>
      </w:r>
      <w:r w:rsidRPr="00575A7E">
        <w:rPr>
          <w:rFonts w:ascii="Calibri" w:eastAsia="Calibri" w:hAnsi="Calibri" w:cs="Times New Roman"/>
          <w:color w:val="595959"/>
        </w:rPr>
        <w:t>ανισότητα, δεδομένης της ιδιαίτερα δυσμεν</w:t>
      </w:r>
      <w:r w:rsidR="00CE06ED" w:rsidRPr="00575A7E">
        <w:rPr>
          <w:rFonts w:ascii="Calibri" w:eastAsia="Calibri" w:hAnsi="Calibri" w:cs="Times New Roman"/>
          <w:color w:val="595959"/>
        </w:rPr>
        <w:t>ού</w:t>
      </w:r>
      <w:r w:rsidRPr="00575A7E">
        <w:rPr>
          <w:rFonts w:ascii="Calibri" w:eastAsia="Calibri" w:hAnsi="Calibri" w:cs="Times New Roman"/>
          <w:color w:val="595959"/>
        </w:rPr>
        <w:t>ς επίδρασης της κρίσης στους εργαζομένους σε προσωρινές ή επισφαλείς θέσεις εργασίας</w:t>
      </w:r>
      <w:r w:rsidR="00571BE2" w:rsidRPr="00575A7E">
        <w:rPr>
          <w:rFonts w:ascii="Calibri" w:eastAsia="Calibri" w:hAnsi="Calibri" w:cs="Times New Roman"/>
          <w:color w:val="595959"/>
        </w:rPr>
        <w:t xml:space="preserve"> και</w:t>
      </w:r>
      <w:r w:rsidRPr="00575A7E">
        <w:rPr>
          <w:rFonts w:ascii="Calibri" w:eastAsia="Calibri" w:hAnsi="Calibri" w:cs="Times New Roman"/>
          <w:color w:val="595959"/>
        </w:rPr>
        <w:t xml:space="preserve"> να οδηγήσει σε χαμηλότερους μισθούς ιδιαίτερα στις ευάλωτες ομάδες (νέους και γυναίκες).</w:t>
      </w:r>
    </w:p>
    <w:p w14:paraId="4B8899C6" w14:textId="77777777" w:rsidR="00283CC6" w:rsidRPr="00575A7E" w:rsidRDefault="00B37FAE" w:rsidP="003B1BE9">
      <w:pPr>
        <w:numPr>
          <w:ilvl w:val="0"/>
          <w:numId w:val="7"/>
        </w:num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Οι </w:t>
      </w:r>
      <w:r w:rsidR="00283CC6" w:rsidRPr="00575A7E">
        <w:rPr>
          <w:rFonts w:ascii="Calibri" w:eastAsia="Calibri" w:hAnsi="Calibri" w:cs="Times New Roman"/>
          <w:color w:val="595959"/>
        </w:rPr>
        <w:t>εκτεταμένες κοινωνικές αναταραχές, συμπεριλαμβανομένης της αυξημένης ανισότητας και της άνισης πρόσβασης σε εμβόλια και θεραπείες, θα μπορούσ</w:t>
      </w:r>
      <w:r w:rsidR="005E3A1C" w:rsidRPr="00575A7E">
        <w:rPr>
          <w:rFonts w:ascii="Calibri" w:eastAsia="Calibri" w:hAnsi="Calibri" w:cs="Times New Roman"/>
          <w:color w:val="595959"/>
        </w:rPr>
        <w:t>αν</w:t>
      </w:r>
      <w:r w:rsidR="00283CC6" w:rsidRPr="00575A7E">
        <w:rPr>
          <w:rFonts w:ascii="Calibri" w:eastAsia="Calibri" w:hAnsi="Calibri" w:cs="Times New Roman"/>
          <w:color w:val="595959"/>
        </w:rPr>
        <w:t xml:space="preserve"> να </w:t>
      </w:r>
      <w:r w:rsidR="002A0129">
        <w:rPr>
          <w:rFonts w:ascii="Calibri" w:eastAsia="Calibri" w:hAnsi="Calibri" w:cs="Times New Roman"/>
          <w:color w:val="595959"/>
        </w:rPr>
        <w:t>καθυστερήσουν</w:t>
      </w:r>
      <w:r w:rsidR="002A0129" w:rsidRPr="00575A7E">
        <w:rPr>
          <w:rFonts w:ascii="Calibri" w:eastAsia="Calibri" w:hAnsi="Calibri" w:cs="Times New Roman"/>
          <w:color w:val="595959"/>
        </w:rPr>
        <w:t xml:space="preserve"> </w:t>
      </w:r>
      <w:r w:rsidR="00283CC6" w:rsidRPr="00575A7E">
        <w:rPr>
          <w:rFonts w:ascii="Calibri" w:eastAsia="Calibri" w:hAnsi="Calibri" w:cs="Times New Roman"/>
          <w:color w:val="595959"/>
        </w:rPr>
        <w:t xml:space="preserve">περαιτέρω την ανάκαμψη. </w:t>
      </w:r>
    </w:p>
    <w:p w14:paraId="155982B8" w14:textId="5B8E4B9D" w:rsidR="00283CC6" w:rsidRPr="009926BC" w:rsidRDefault="00270182" w:rsidP="003B1BE9">
      <w:pPr>
        <w:numPr>
          <w:ilvl w:val="0"/>
          <w:numId w:val="7"/>
        </w:numPr>
        <w:spacing w:after="0" w:line="276" w:lineRule="auto"/>
        <w:jc w:val="both"/>
        <w:rPr>
          <w:rFonts w:ascii="Calibri" w:eastAsia="Calibri" w:hAnsi="Calibri" w:cs="Times New Roman"/>
          <w:color w:val="595959"/>
        </w:rPr>
      </w:pPr>
      <w:r>
        <w:rPr>
          <w:rFonts w:ascii="Calibri" w:eastAsia="Calibri" w:hAnsi="Calibri" w:cs="Times New Roman"/>
          <w:color w:val="595959"/>
        </w:rPr>
        <w:t>Η επαναφορά των πληθωριστικών πιέσεων σε περίπτωση που η παγκόσμια ζ</w:t>
      </w:r>
      <w:r w:rsidR="00DB4E6F">
        <w:rPr>
          <w:rFonts w:ascii="Calibri" w:eastAsia="Calibri" w:hAnsi="Calibri" w:cs="Times New Roman"/>
          <w:color w:val="595959"/>
        </w:rPr>
        <w:t xml:space="preserve">ήτηση, υποστηριζόμενη από τις συσσωρευμένες αποταμιεύσεις, </w:t>
      </w:r>
      <w:r>
        <w:rPr>
          <w:rFonts w:ascii="Calibri" w:eastAsia="Calibri" w:hAnsi="Calibri" w:cs="Times New Roman"/>
          <w:color w:val="595959"/>
        </w:rPr>
        <w:t xml:space="preserve">ανακάμψει ταχύτερα από την παγκόσμια προσφορά </w:t>
      </w:r>
      <w:r w:rsidR="00DB4E6F">
        <w:rPr>
          <w:rFonts w:ascii="Calibri" w:eastAsia="Calibri" w:hAnsi="Calibri" w:cs="Times New Roman"/>
          <w:color w:val="595959"/>
        </w:rPr>
        <w:t>που ενδέχεται να παραμείνει περιορισμένη.</w:t>
      </w:r>
      <w:bookmarkStart w:id="21" w:name="_Toc50131940"/>
    </w:p>
    <w:p w14:paraId="25F88617" w14:textId="77777777" w:rsidR="00283CC6" w:rsidRPr="00575A7E" w:rsidRDefault="00283CC6" w:rsidP="003B1BE9">
      <w:pPr>
        <w:pStyle w:val="2"/>
        <w:spacing w:before="0" w:line="276" w:lineRule="auto"/>
        <w:jc w:val="both"/>
        <w:rPr>
          <w:rFonts w:eastAsia="Times New Roman"/>
        </w:rPr>
      </w:pPr>
      <w:bookmarkStart w:id="22" w:name="_Toc56073713"/>
      <w:bookmarkStart w:id="23" w:name="_Toc67401894"/>
      <w:r w:rsidRPr="00575A7E">
        <w:rPr>
          <w:rFonts w:eastAsia="Times New Roman"/>
        </w:rPr>
        <w:lastRenderedPageBreak/>
        <w:t>1.2. Εγχώριο περιβάλλον</w:t>
      </w:r>
      <w:bookmarkEnd w:id="21"/>
      <w:bookmarkEnd w:id="22"/>
      <w:bookmarkEnd w:id="23"/>
    </w:p>
    <w:p w14:paraId="4A3CF181" w14:textId="77777777" w:rsidR="00283CC6" w:rsidRPr="00575A7E" w:rsidRDefault="00283CC6" w:rsidP="003B1BE9">
      <w:pPr>
        <w:spacing w:after="0" w:line="276" w:lineRule="auto"/>
      </w:pPr>
    </w:p>
    <w:p w14:paraId="1F09B0D7" w14:textId="77777777" w:rsidR="00283CC6" w:rsidRPr="00575A7E" w:rsidRDefault="00283CC6" w:rsidP="003B1BE9">
      <w:pPr>
        <w:pStyle w:val="3"/>
        <w:spacing w:before="0" w:line="276" w:lineRule="auto"/>
      </w:pPr>
      <w:bookmarkStart w:id="24" w:name="_Toc50131941"/>
      <w:bookmarkStart w:id="25" w:name="_Toc51063500"/>
      <w:bookmarkStart w:id="26" w:name="_Toc67401895"/>
      <w:r w:rsidRPr="00575A7E">
        <w:t>ΑΕΠ και συνιστώσες</w:t>
      </w:r>
      <w:bookmarkEnd w:id="24"/>
      <w:bookmarkEnd w:id="25"/>
      <w:bookmarkEnd w:id="26"/>
    </w:p>
    <w:p w14:paraId="7D76D70D" w14:textId="77777777" w:rsidR="00283CC6" w:rsidRPr="00575A7E" w:rsidRDefault="00283CC6" w:rsidP="003B1BE9">
      <w:pPr>
        <w:spacing w:after="0" w:line="276" w:lineRule="auto"/>
        <w:jc w:val="both"/>
      </w:pPr>
    </w:p>
    <w:p w14:paraId="532518B7" w14:textId="14AEA5DC" w:rsidR="00283CC6" w:rsidRPr="00575A7E" w:rsidRDefault="006110B7" w:rsidP="003B1BE9">
      <w:pPr>
        <w:autoSpaceDE w:val="0"/>
        <w:autoSpaceDN w:val="0"/>
        <w:adjustRightInd w:val="0"/>
        <w:spacing w:line="276" w:lineRule="auto"/>
        <w:jc w:val="both"/>
        <w:rPr>
          <w:rFonts w:ascii="Calibri" w:eastAsia="Calibri" w:hAnsi="Calibri" w:cs="Calibri"/>
          <w:color w:val="595959"/>
        </w:rPr>
      </w:pPr>
      <w:r>
        <w:rPr>
          <w:rFonts w:ascii="Calibri" w:eastAsia="Calibri" w:hAnsi="Calibri" w:cs="Calibri"/>
          <w:color w:val="595959"/>
        </w:rPr>
        <w:t>Σ</w:t>
      </w:r>
      <w:r w:rsidR="00283CC6" w:rsidRPr="00575A7E">
        <w:rPr>
          <w:rFonts w:ascii="Calibri" w:eastAsia="Calibri" w:hAnsi="Calibri" w:cs="Calibri"/>
          <w:color w:val="595959"/>
        </w:rPr>
        <w:t xml:space="preserve">ύμφωνα με </w:t>
      </w:r>
      <w:hyperlink r:id="rId26" w:history="1">
        <w:r w:rsidR="00283CC6" w:rsidRPr="00575A7E">
          <w:rPr>
            <w:rStyle w:val="-"/>
            <w:rFonts w:ascii="Calibri" w:eastAsia="Calibri" w:hAnsi="Calibri" w:cs="Calibri"/>
            <w:color w:val="595959"/>
          </w:rPr>
          <w:t>τα προσωρινά στοιχεία της ΕΛΣΤΑΤ</w:t>
        </w:r>
      </w:hyperlink>
      <w:r w:rsidR="00283CC6" w:rsidRPr="00575A7E">
        <w:rPr>
          <w:rFonts w:ascii="Calibri" w:eastAsia="Calibri" w:hAnsi="Calibri" w:cs="Calibri"/>
          <w:color w:val="595959"/>
        </w:rPr>
        <w:t xml:space="preserve">, το </w:t>
      </w:r>
      <w:r w:rsidR="002A5D86">
        <w:rPr>
          <w:rFonts w:ascii="Calibri" w:eastAsia="Calibri" w:hAnsi="Calibri" w:cs="Calibri"/>
          <w:color w:val="595959"/>
        </w:rPr>
        <w:t>Ακαθάριστο Εγχώριο Προϊόν (ΑΕΠ)</w:t>
      </w:r>
      <w:r w:rsidR="00283CC6" w:rsidRPr="00575A7E">
        <w:rPr>
          <w:rFonts w:ascii="Calibri" w:eastAsia="Calibri" w:hAnsi="Calibri" w:cs="Calibri"/>
          <w:color w:val="595959"/>
        </w:rPr>
        <w:t xml:space="preserve"> παρουσίασε μείωση 8,2% το 2020 σε σχέση με το </w:t>
      </w:r>
      <w:r w:rsidR="00283CC6" w:rsidRPr="00575A7E">
        <w:rPr>
          <w:rFonts w:ascii="Calibri" w:eastAsia="Calibri" w:hAnsi="Calibri" w:cs="Calibri"/>
          <w:color w:val="595959" w:themeColor="text1" w:themeTint="A6"/>
        </w:rPr>
        <w:t xml:space="preserve">2019 </w:t>
      </w:r>
      <w:r w:rsidR="003E7A58" w:rsidRPr="00575A7E">
        <w:rPr>
          <w:rFonts w:ascii="Calibri" w:eastAsia="Calibri" w:hAnsi="Calibri" w:cs="Calibri"/>
          <w:color w:val="595959" w:themeColor="text1" w:themeTint="A6"/>
        </w:rPr>
        <w:t>(</w:t>
      </w:r>
      <w:hyperlink r:id="rId27" w:history="1">
        <w:r w:rsidR="003E7A58" w:rsidRPr="00575A7E">
          <w:rPr>
            <w:rStyle w:val="-"/>
            <w:rFonts w:ascii="Calibri" w:eastAsia="Calibri" w:hAnsi="Calibri" w:cs="Calibri"/>
            <w:color w:val="595959" w:themeColor="text1" w:themeTint="A6"/>
          </w:rPr>
          <w:t>έναντι 6,6% στην Ευρωζώνη</w:t>
        </w:r>
      </w:hyperlink>
      <w:r w:rsidR="003E7A58" w:rsidRPr="00575A7E">
        <w:rPr>
          <w:rFonts w:ascii="Calibri" w:eastAsia="Calibri" w:hAnsi="Calibri" w:cs="Calibri"/>
          <w:color w:val="595959"/>
        </w:rPr>
        <w:t xml:space="preserve">) </w:t>
      </w:r>
      <w:r w:rsidR="00283CC6" w:rsidRPr="00575A7E">
        <w:rPr>
          <w:rFonts w:ascii="Calibri" w:eastAsia="Calibri" w:hAnsi="Calibri" w:cs="Calibri"/>
          <w:color w:val="595959"/>
        </w:rPr>
        <w:t xml:space="preserve">αντανακλώντας την επίδραση </w:t>
      </w:r>
      <w:r w:rsidR="00BF5A5F" w:rsidRPr="00575A7E">
        <w:rPr>
          <w:rFonts w:ascii="Calibri" w:eastAsia="Calibri" w:hAnsi="Calibri" w:cs="Calibri"/>
          <w:color w:val="595959"/>
        </w:rPr>
        <w:t xml:space="preserve">της </w:t>
      </w:r>
      <w:r w:rsidR="00283CC6" w:rsidRPr="00575A7E">
        <w:rPr>
          <w:rFonts w:ascii="Calibri" w:eastAsia="Calibri" w:hAnsi="Calibri" w:cs="Calibri"/>
          <w:color w:val="595959"/>
        </w:rPr>
        <w:t>πανδημίας στην εγχώρια οικονομία. Με βάση τα στοιχεία για το τελευταίο τρίμηνο του 2020 το</w:t>
      </w:r>
      <w:r w:rsidR="006F5F5A" w:rsidRPr="00575A7E">
        <w:rPr>
          <w:rFonts w:ascii="Calibri" w:eastAsia="Calibri" w:hAnsi="Calibri" w:cs="Calibri"/>
          <w:color w:val="595959"/>
        </w:rPr>
        <w:t xml:space="preserve"> </w:t>
      </w:r>
      <w:r w:rsidR="002A5D86">
        <w:rPr>
          <w:rFonts w:ascii="Calibri" w:eastAsia="Calibri" w:hAnsi="Calibri" w:cs="Calibri"/>
          <w:color w:val="595959"/>
        </w:rPr>
        <w:t xml:space="preserve">ΑΕΠ </w:t>
      </w:r>
      <w:r w:rsidR="009926BC">
        <w:rPr>
          <w:rFonts w:ascii="Calibri" w:eastAsia="Calibri" w:hAnsi="Calibri" w:cs="Calibri"/>
          <w:color w:val="595959"/>
        </w:rPr>
        <w:t>μειώθηκε</w:t>
      </w:r>
      <w:r w:rsidR="00283CC6" w:rsidRPr="00575A7E">
        <w:rPr>
          <w:rFonts w:ascii="Calibri" w:eastAsia="Calibri" w:hAnsi="Calibri" w:cs="Calibri"/>
          <w:color w:val="595959"/>
        </w:rPr>
        <w:t xml:space="preserve"> 7,9% σε σχέση με το τελευταίο τρίμηνο το 2019 (</w:t>
      </w:r>
      <w:hyperlink r:id="rId28" w:tgtFrame="_blank" w:history="1">
        <w:r w:rsidR="00283CC6" w:rsidRPr="00575A7E">
          <w:rPr>
            <w:rStyle w:val="-"/>
            <w:rFonts w:ascii="Calibri" w:eastAsia="Calibri" w:hAnsi="Calibri" w:cs="Calibri"/>
            <w:color w:val="595959"/>
          </w:rPr>
          <w:t xml:space="preserve">έναντι </w:t>
        </w:r>
        <w:r w:rsidR="006F5F5A" w:rsidRPr="00575A7E">
          <w:rPr>
            <w:rStyle w:val="-"/>
            <w:rFonts w:ascii="Calibri" w:eastAsia="Calibri" w:hAnsi="Calibri" w:cs="Calibri"/>
            <w:color w:val="595959"/>
          </w:rPr>
          <w:t>4</w:t>
        </w:r>
        <w:r w:rsidR="00283CC6" w:rsidRPr="00575A7E">
          <w:rPr>
            <w:rStyle w:val="-"/>
            <w:rFonts w:ascii="Calibri" w:eastAsia="Calibri" w:hAnsi="Calibri" w:cs="Calibri"/>
            <w:color w:val="595959"/>
          </w:rPr>
          <w:t>,</w:t>
        </w:r>
        <w:r w:rsidR="006F5F5A" w:rsidRPr="00575A7E">
          <w:rPr>
            <w:rStyle w:val="-"/>
            <w:rFonts w:ascii="Calibri" w:eastAsia="Calibri" w:hAnsi="Calibri" w:cs="Calibri"/>
            <w:color w:val="595959"/>
          </w:rPr>
          <w:t>9</w:t>
        </w:r>
        <w:r w:rsidR="00283CC6" w:rsidRPr="00575A7E">
          <w:rPr>
            <w:rStyle w:val="-"/>
            <w:rFonts w:ascii="Calibri" w:eastAsia="Calibri" w:hAnsi="Calibri" w:cs="Calibri"/>
            <w:color w:val="595959"/>
          </w:rPr>
          <w:t>% στην Ευρωζώνη</w:t>
        </w:r>
      </w:hyperlink>
      <w:r w:rsidR="00283CC6" w:rsidRPr="00575A7E">
        <w:rPr>
          <w:rFonts w:ascii="Calibri" w:eastAsia="Calibri" w:hAnsi="Calibri" w:cs="Calibri"/>
          <w:color w:val="595959"/>
        </w:rPr>
        <w:t xml:space="preserve">). </w:t>
      </w:r>
      <w:r w:rsidR="004A75BC">
        <w:rPr>
          <w:rFonts w:ascii="Calibri" w:eastAsia="Calibri" w:hAnsi="Calibri" w:cs="Calibri"/>
          <w:color w:val="595959"/>
        </w:rPr>
        <w:t>Η οικονομική δραστηριότητα τ</w:t>
      </w:r>
      <w:r w:rsidR="00283CC6" w:rsidRPr="00575A7E">
        <w:rPr>
          <w:rFonts w:ascii="Calibri" w:eastAsia="Calibri" w:hAnsi="Calibri" w:cs="Calibri"/>
          <w:color w:val="595959"/>
        </w:rPr>
        <w:t xml:space="preserve">ο εν λόγω τρίμηνο </w:t>
      </w:r>
      <w:r w:rsidR="004A75BC">
        <w:rPr>
          <w:rFonts w:ascii="Calibri" w:eastAsia="Calibri" w:hAnsi="Calibri" w:cs="Calibri"/>
          <w:color w:val="595959"/>
        </w:rPr>
        <w:t>επηρεάστηκε από το</w:t>
      </w:r>
      <w:r w:rsidR="00283CC6" w:rsidRPr="00575A7E">
        <w:rPr>
          <w:rFonts w:ascii="Calibri" w:eastAsia="Calibri" w:hAnsi="Calibri" w:cs="Calibri"/>
          <w:color w:val="595959"/>
        </w:rPr>
        <w:t xml:space="preserve"> δεύτερο κύμα της πανδημίας και την εφαρμογή νεών αυστηρών περιοριστικών μέτρων που επιβλήθηκαν </w:t>
      </w:r>
      <w:r w:rsidR="0072390A" w:rsidRPr="00575A7E">
        <w:rPr>
          <w:rFonts w:ascii="Calibri" w:eastAsia="Calibri" w:hAnsi="Calibri" w:cs="Calibri"/>
          <w:color w:val="595959"/>
        </w:rPr>
        <w:t xml:space="preserve">από τις αρχές </w:t>
      </w:r>
      <w:r w:rsidR="00812DF7" w:rsidRPr="00575A7E">
        <w:rPr>
          <w:rFonts w:ascii="Calibri" w:eastAsia="Calibri" w:hAnsi="Calibri" w:cs="Calibri"/>
          <w:color w:val="595959"/>
        </w:rPr>
        <w:t xml:space="preserve">του </w:t>
      </w:r>
      <w:r w:rsidR="0072390A" w:rsidRPr="00575A7E">
        <w:rPr>
          <w:rFonts w:ascii="Calibri" w:eastAsia="Calibri" w:hAnsi="Calibri" w:cs="Calibri"/>
          <w:color w:val="595959"/>
        </w:rPr>
        <w:t>Νοε</w:t>
      </w:r>
      <w:r w:rsidR="00283CC6" w:rsidRPr="00575A7E">
        <w:rPr>
          <w:rFonts w:ascii="Calibri" w:eastAsia="Calibri" w:hAnsi="Calibri" w:cs="Calibri"/>
          <w:color w:val="595959"/>
        </w:rPr>
        <w:t>μβρ</w:t>
      </w:r>
      <w:r w:rsidR="0072390A" w:rsidRPr="00575A7E">
        <w:rPr>
          <w:rFonts w:ascii="Calibri" w:eastAsia="Calibri" w:hAnsi="Calibri" w:cs="Calibri"/>
          <w:color w:val="595959"/>
        </w:rPr>
        <w:t>ίου</w:t>
      </w:r>
      <w:r w:rsidR="00283CC6" w:rsidRPr="00575A7E">
        <w:rPr>
          <w:rFonts w:ascii="Calibri" w:eastAsia="Calibri" w:hAnsi="Calibri" w:cs="Calibri"/>
          <w:color w:val="595959"/>
        </w:rPr>
        <w:t xml:space="preserve"> 2020.</w:t>
      </w:r>
    </w:p>
    <w:p w14:paraId="5131FC39" w14:textId="2AAEC3F3" w:rsidR="00283CC6" w:rsidRPr="00575A7E" w:rsidRDefault="007914EA" w:rsidP="003B1BE9">
      <w:pPr>
        <w:autoSpaceDE w:val="0"/>
        <w:autoSpaceDN w:val="0"/>
        <w:adjustRightInd w:val="0"/>
        <w:spacing w:after="0" w:line="276" w:lineRule="auto"/>
        <w:jc w:val="both"/>
        <w:rPr>
          <w:rFonts w:ascii="Calibri" w:eastAsia="Calibri" w:hAnsi="Calibri" w:cs="Calibri"/>
          <w:color w:val="595959"/>
        </w:rPr>
      </w:pPr>
      <w:r w:rsidRPr="00575A7E">
        <w:rPr>
          <w:rFonts w:ascii="Calibri" w:eastAsia="Calibri" w:hAnsi="Calibri" w:cs="Calibri"/>
          <w:color w:val="595959" w:themeColor="text1" w:themeTint="A6"/>
        </w:rPr>
        <w:t>Η μείωση της οικονομικής δραστηριότητας με βάση τα ετήσια στοιχεία οφείλεται κυρίως στη</w:t>
      </w:r>
      <w:r w:rsidR="00800CA7">
        <w:rPr>
          <w:rFonts w:ascii="Calibri" w:eastAsia="Calibri" w:hAnsi="Calibri" w:cs="Calibri"/>
          <w:color w:val="595959" w:themeColor="text1" w:themeTint="A6"/>
        </w:rPr>
        <w:t>ν</w:t>
      </w:r>
      <w:r w:rsidRPr="00575A7E">
        <w:rPr>
          <w:rFonts w:ascii="Calibri" w:eastAsia="Calibri" w:hAnsi="Calibri" w:cs="Calibri"/>
          <w:color w:val="595959" w:themeColor="text1" w:themeTint="A6"/>
        </w:rPr>
        <w:t xml:space="preserve"> αρνητική επίδοση των Εξαγωγών </w:t>
      </w:r>
      <w:r w:rsidR="00800CA7">
        <w:rPr>
          <w:rFonts w:ascii="Calibri" w:eastAsia="Calibri" w:hAnsi="Calibri" w:cs="Calibri"/>
          <w:color w:val="595959" w:themeColor="text1" w:themeTint="A6"/>
        </w:rPr>
        <w:t>Υ</w:t>
      </w:r>
      <w:r w:rsidR="003765DF">
        <w:rPr>
          <w:rFonts w:ascii="Calibri" w:eastAsia="Calibri" w:hAnsi="Calibri" w:cs="Calibri"/>
          <w:color w:val="595959" w:themeColor="text1" w:themeTint="A6"/>
        </w:rPr>
        <w:t>πηρεσιών</w:t>
      </w:r>
      <w:r w:rsidR="003B76E8">
        <w:rPr>
          <w:rFonts w:ascii="Calibri" w:eastAsia="Calibri" w:hAnsi="Calibri" w:cs="Calibri"/>
          <w:color w:val="595959" w:themeColor="text1" w:themeTint="A6"/>
        </w:rPr>
        <w:t xml:space="preserve"> </w:t>
      </w:r>
      <w:r w:rsidRPr="00575A7E">
        <w:rPr>
          <w:rFonts w:ascii="Calibri" w:eastAsia="Calibri" w:hAnsi="Calibri" w:cs="Calibri"/>
          <w:color w:val="595959" w:themeColor="text1" w:themeTint="A6"/>
        </w:rPr>
        <w:t>(-</w:t>
      </w:r>
      <w:r w:rsidR="003B76E8">
        <w:rPr>
          <w:rFonts w:ascii="Calibri" w:eastAsia="Calibri" w:hAnsi="Calibri" w:cs="Calibri"/>
          <w:color w:val="595959" w:themeColor="text1" w:themeTint="A6"/>
        </w:rPr>
        <w:t>43</w:t>
      </w:r>
      <w:r w:rsidRPr="00575A7E">
        <w:rPr>
          <w:rFonts w:ascii="Calibri" w:eastAsia="Calibri" w:hAnsi="Calibri" w:cs="Calibri"/>
          <w:color w:val="595959" w:themeColor="text1" w:themeTint="A6"/>
        </w:rPr>
        <w:t>%), της Ιδιωτικής Κατανάλωσης</w:t>
      </w:r>
      <w:r w:rsidR="00812DF7" w:rsidRPr="001C1DF1">
        <w:rPr>
          <w:rFonts w:ascii="Calibri" w:eastAsia="Calibri" w:hAnsi="Calibri" w:cs="Calibri"/>
          <w:color w:val="595959" w:themeColor="text1" w:themeTint="A6"/>
        </w:rPr>
        <w:t xml:space="preserve"> </w:t>
      </w:r>
      <w:r w:rsidRPr="00575A7E">
        <w:rPr>
          <w:rFonts w:ascii="Calibri" w:eastAsia="Calibri" w:hAnsi="Calibri" w:cs="Calibri"/>
          <w:color w:val="595959" w:themeColor="text1" w:themeTint="A6"/>
        </w:rPr>
        <w:t xml:space="preserve">(-5,2%) και στη μείωση των </w:t>
      </w:r>
      <w:r w:rsidR="00800CA7">
        <w:rPr>
          <w:rFonts w:ascii="Calibri" w:eastAsia="Calibri" w:hAnsi="Calibri" w:cs="Calibri"/>
          <w:color w:val="595959" w:themeColor="text1" w:themeTint="A6"/>
        </w:rPr>
        <w:t>Ε</w:t>
      </w:r>
      <w:r w:rsidRPr="00575A7E">
        <w:rPr>
          <w:rFonts w:ascii="Calibri" w:eastAsia="Calibri" w:hAnsi="Calibri" w:cs="Calibri"/>
          <w:color w:val="595959" w:themeColor="text1" w:themeTint="A6"/>
        </w:rPr>
        <w:t xml:space="preserve">πενδύσεων (-0,6%). </w:t>
      </w:r>
      <w:r w:rsidR="006110B7" w:rsidRPr="006110B7">
        <w:rPr>
          <w:rFonts w:ascii="Calibri" w:eastAsia="Calibri" w:hAnsi="Calibri" w:cs="Calibri"/>
          <w:color w:val="595959" w:themeColor="text1" w:themeTint="A6"/>
        </w:rPr>
        <w:t xml:space="preserve">Αντίθετα, θετικά </w:t>
      </w:r>
      <w:proofErr w:type="spellStart"/>
      <w:r w:rsidR="006110B7" w:rsidRPr="006110B7">
        <w:rPr>
          <w:rFonts w:ascii="Calibri" w:eastAsia="Calibri" w:hAnsi="Calibri" w:cs="Calibri"/>
          <w:color w:val="595959" w:themeColor="text1" w:themeTint="A6"/>
        </w:rPr>
        <w:t>επέδρασαν</w:t>
      </w:r>
      <w:proofErr w:type="spellEnd"/>
      <w:r w:rsidR="006110B7" w:rsidRPr="006110B7">
        <w:rPr>
          <w:rFonts w:ascii="Calibri" w:eastAsia="Calibri" w:hAnsi="Calibri" w:cs="Calibri"/>
          <w:color w:val="595959" w:themeColor="text1" w:themeTint="A6"/>
        </w:rPr>
        <w:t xml:space="preserve"> η αύξηση των Εξαγωγών Αγαθών (4,3%), η αύξηση της δημόσιας κατανάλωσης (2,7%) και</w:t>
      </w:r>
      <w:r w:rsidR="006110B7">
        <w:rPr>
          <w:rFonts w:ascii="Calibri" w:eastAsia="Calibri" w:hAnsi="Calibri" w:cs="Calibri"/>
          <w:color w:val="595959" w:themeColor="text1" w:themeTint="A6"/>
        </w:rPr>
        <w:t xml:space="preserve"> </w:t>
      </w:r>
      <w:r w:rsidR="006110B7" w:rsidRPr="006110B7">
        <w:rPr>
          <w:rFonts w:ascii="Calibri" w:eastAsia="Calibri" w:hAnsi="Calibri" w:cs="Calibri"/>
          <w:color w:val="595959" w:themeColor="text1" w:themeTint="A6"/>
        </w:rPr>
        <w:t>η μείωση των Εισαγωγών Αγαθών (-3,7%)</w:t>
      </w:r>
      <w:r w:rsidR="006110B7">
        <w:rPr>
          <w:rFonts w:ascii="Calibri" w:eastAsia="Calibri" w:hAnsi="Calibri" w:cs="Calibri"/>
          <w:color w:val="595959" w:themeColor="text1" w:themeTint="A6"/>
        </w:rPr>
        <w:t xml:space="preserve"> </w:t>
      </w:r>
      <w:r w:rsidR="006110B7" w:rsidRPr="006110B7">
        <w:rPr>
          <w:rFonts w:ascii="Calibri" w:eastAsia="Calibri" w:hAnsi="Calibri" w:cs="Calibri"/>
          <w:color w:val="595959" w:themeColor="text1" w:themeTint="A6"/>
        </w:rPr>
        <w:t>και Υ</w:t>
      </w:r>
      <w:r w:rsidR="006110B7">
        <w:rPr>
          <w:rFonts w:ascii="Calibri" w:eastAsia="Calibri" w:hAnsi="Calibri" w:cs="Calibri"/>
          <w:color w:val="595959" w:themeColor="text1" w:themeTint="A6"/>
        </w:rPr>
        <w:t xml:space="preserve">πηρεσιών </w:t>
      </w:r>
      <w:r w:rsidR="006110B7" w:rsidRPr="006110B7">
        <w:rPr>
          <w:rFonts w:ascii="Calibri" w:eastAsia="Calibri" w:hAnsi="Calibri" w:cs="Calibri"/>
          <w:color w:val="595959" w:themeColor="text1" w:themeTint="A6"/>
        </w:rPr>
        <w:t>(-16%)</w:t>
      </w:r>
      <w:r w:rsidRPr="006110B7">
        <w:rPr>
          <w:rFonts w:ascii="Calibri" w:eastAsia="Calibri" w:hAnsi="Calibri" w:cs="Calibri"/>
          <w:color w:val="595959" w:themeColor="text1" w:themeTint="A6"/>
        </w:rPr>
        <w:t>.</w:t>
      </w:r>
      <w:r w:rsidR="00283CC6" w:rsidRPr="00575A7E">
        <w:rPr>
          <w:rFonts w:ascii="Calibri" w:eastAsia="Calibri" w:hAnsi="Calibri" w:cs="Calibri"/>
          <w:color w:val="595959" w:themeColor="text1" w:themeTint="A6"/>
        </w:rPr>
        <w:t xml:space="preserve"> Η μείωση της οικονομικής δραστηριότητας</w:t>
      </w:r>
      <w:r w:rsidR="00283CC6" w:rsidRPr="00575A7E">
        <w:rPr>
          <w:rFonts w:ascii="Calibri" w:eastAsia="Calibri" w:hAnsi="Calibri" w:cs="Calibri"/>
          <w:color w:val="595959"/>
        </w:rPr>
        <w:t xml:space="preserve"> το 4</w:t>
      </w:r>
      <w:r w:rsidR="00283CC6" w:rsidRPr="00575A7E">
        <w:rPr>
          <w:rFonts w:ascii="Calibri" w:eastAsia="Calibri" w:hAnsi="Calibri" w:cs="Calibri"/>
          <w:color w:val="595959"/>
          <w:vertAlign w:val="superscript"/>
        </w:rPr>
        <w:t>ο</w:t>
      </w:r>
      <w:r w:rsidR="00283CC6" w:rsidRPr="00575A7E">
        <w:rPr>
          <w:rFonts w:ascii="Calibri" w:eastAsia="Calibri" w:hAnsi="Calibri" w:cs="Calibri"/>
          <w:color w:val="595959"/>
        </w:rPr>
        <w:t xml:space="preserve"> τρίμηνο του 2020 οφείλεται κυρίως στην αρνητική συμβολή των Εξαγωγών</w:t>
      </w:r>
      <w:r w:rsidR="003B76E8">
        <w:rPr>
          <w:rFonts w:ascii="Calibri" w:eastAsia="Calibri" w:hAnsi="Calibri" w:cs="Calibri"/>
          <w:color w:val="595959"/>
        </w:rPr>
        <w:t xml:space="preserve"> </w:t>
      </w:r>
      <w:r w:rsidR="00800CA7">
        <w:rPr>
          <w:rFonts w:ascii="Calibri" w:eastAsia="Calibri" w:hAnsi="Calibri" w:cs="Calibri"/>
          <w:color w:val="595959"/>
        </w:rPr>
        <w:t>Υ</w:t>
      </w:r>
      <w:r w:rsidR="003B76E8">
        <w:rPr>
          <w:rFonts w:ascii="Calibri" w:eastAsia="Calibri" w:hAnsi="Calibri" w:cs="Calibri"/>
          <w:color w:val="595959"/>
        </w:rPr>
        <w:t>πηρεσιών</w:t>
      </w:r>
      <w:r w:rsidR="00283CC6" w:rsidRPr="00575A7E">
        <w:rPr>
          <w:rFonts w:ascii="Calibri" w:eastAsia="Calibri" w:hAnsi="Calibri" w:cs="Calibri"/>
          <w:color w:val="595959"/>
        </w:rPr>
        <w:t xml:space="preserve"> (-</w:t>
      </w:r>
      <w:r w:rsidR="003B76E8">
        <w:rPr>
          <w:rFonts w:ascii="Calibri" w:eastAsia="Calibri" w:hAnsi="Calibri" w:cs="Calibri"/>
          <w:color w:val="595959"/>
        </w:rPr>
        <w:t>55,4</w:t>
      </w:r>
      <w:r w:rsidR="00283CC6" w:rsidRPr="00575A7E">
        <w:rPr>
          <w:rFonts w:ascii="Calibri" w:eastAsia="Calibri" w:hAnsi="Calibri" w:cs="Calibri"/>
          <w:color w:val="595959"/>
        </w:rPr>
        <w:t xml:space="preserve">%) και της </w:t>
      </w:r>
      <w:r w:rsidR="00800CA7">
        <w:rPr>
          <w:rFonts w:ascii="Calibri" w:eastAsia="Calibri" w:hAnsi="Calibri" w:cs="Calibri"/>
          <w:color w:val="595959"/>
        </w:rPr>
        <w:t>Ι</w:t>
      </w:r>
      <w:r w:rsidR="00283CC6" w:rsidRPr="00575A7E">
        <w:rPr>
          <w:rFonts w:ascii="Calibri" w:eastAsia="Calibri" w:hAnsi="Calibri" w:cs="Calibri"/>
          <w:color w:val="595959"/>
        </w:rPr>
        <w:t xml:space="preserve">διωτικής </w:t>
      </w:r>
      <w:r w:rsidR="00800CA7">
        <w:rPr>
          <w:rFonts w:ascii="Calibri" w:eastAsia="Calibri" w:hAnsi="Calibri" w:cs="Calibri"/>
          <w:color w:val="595959"/>
        </w:rPr>
        <w:t>Κ</w:t>
      </w:r>
      <w:r w:rsidR="00283CC6" w:rsidRPr="00575A7E">
        <w:rPr>
          <w:rFonts w:ascii="Calibri" w:eastAsia="Calibri" w:hAnsi="Calibri" w:cs="Calibri"/>
          <w:color w:val="595959"/>
        </w:rPr>
        <w:t xml:space="preserve">ατανάλωσης (-4,7%). </w:t>
      </w:r>
      <w:r w:rsidR="00283CC6" w:rsidRPr="00575A7E">
        <w:rPr>
          <w:rFonts w:ascii="Calibri" w:eastAsia="Calibri" w:hAnsi="Calibri" w:cs="Calibri"/>
          <w:color w:val="595959"/>
          <w:lang w:val="en-US"/>
        </w:rPr>
        <w:t>H</w:t>
      </w:r>
      <w:r w:rsidR="00283CC6" w:rsidRPr="00575A7E">
        <w:rPr>
          <w:rFonts w:ascii="Calibri" w:eastAsia="Calibri" w:hAnsi="Calibri" w:cs="Calibri"/>
          <w:color w:val="595959"/>
        </w:rPr>
        <w:t xml:space="preserve"> θετική συμβολή της </w:t>
      </w:r>
      <w:r w:rsidR="00800CA7">
        <w:rPr>
          <w:rFonts w:ascii="Calibri" w:eastAsia="Calibri" w:hAnsi="Calibri" w:cs="Calibri"/>
          <w:color w:val="595959"/>
        </w:rPr>
        <w:t>Δ</w:t>
      </w:r>
      <w:r w:rsidR="00283CC6" w:rsidRPr="00575A7E">
        <w:rPr>
          <w:rFonts w:ascii="Calibri" w:eastAsia="Calibri" w:hAnsi="Calibri" w:cs="Calibri"/>
          <w:color w:val="595959"/>
        </w:rPr>
        <w:t>ημόσιας</w:t>
      </w:r>
      <w:r w:rsidR="00771906" w:rsidRPr="00575A7E">
        <w:rPr>
          <w:rFonts w:ascii="Calibri" w:eastAsia="Calibri" w:hAnsi="Calibri" w:cs="Calibri"/>
          <w:color w:val="595959"/>
        </w:rPr>
        <w:t xml:space="preserve"> </w:t>
      </w:r>
      <w:r w:rsidR="00800CA7">
        <w:rPr>
          <w:rFonts w:ascii="Calibri" w:eastAsia="Calibri" w:hAnsi="Calibri" w:cs="Calibri"/>
          <w:color w:val="595959"/>
        </w:rPr>
        <w:t>Κ</w:t>
      </w:r>
      <w:r w:rsidR="00771906" w:rsidRPr="00575A7E">
        <w:rPr>
          <w:rFonts w:ascii="Calibri" w:eastAsia="Calibri" w:hAnsi="Calibri" w:cs="Calibri"/>
          <w:color w:val="595959"/>
        </w:rPr>
        <w:t>ατανάλωσης</w:t>
      </w:r>
      <w:r w:rsidR="00D62CFB">
        <w:rPr>
          <w:rFonts w:ascii="Calibri" w:eastAsia="Calibri" w:hAnsi="Calibri" w:cs="Calibri"/>
          <w:color w:val="595959"/>
        </w:rPr>
        <w:t xml:space="preserve"> (7</w:t>
      </w:r>
      <w:proofErr w:type="gramStart"/>
      <w:r w:rsidR="00D62CFB">
        <w:rPr>
          <w:rFonts w:ascii="Calibri" w:eastAsia="Calibri" w:hAnsi="Calibri" w:cs="Calibri"/>
          <w:color w:val="595959"/>
        </w:rPr>
        <w:t>,3</w:t>
      </w:r>
      <w:proofErr w:type="gramEnd"/>
      <w:r w:rsidR="00D62CFB">
        <w:rPr>
          <w:rFonts w:ascii="Calibri" w:eastAsia="Calibri" w:hAnsi="Calibri" w:cs="Calibri"/>
          <w:color w:val="595959"/>
        </w:rPr>
        <w:t>%)</w:t>
      </w:r>
      <w:r w:rsidR="00CC37E0">
        <w:rPr>
          <w:rFonts w:ascii="Calibri" w:eastAsia="Calibri" w:hAnsi="Calibri" w:cs="Calibri"/>
          <w:color w:val="595959"/>
        </w:rPr>
        <w:t xml:space="preserve">, των </w:t>
      </w:r>
      <w:r w:rsidR="00800CA7">
        <w:rPr>
          <w:rFonts w:ascii="Calibri" w:eastAsia="Calibri" w:hAnsi="Calibri" w:cs="Calibri"/>
          <w:color w:val="595959"/>
        </w:rPr>
        <w:t>Ε</w:t>
      </w:r>
      <w:r w:rsidR="00CC37E0">
        <w:rPr>
          <w:rFonts w:ascii="Calibri" w:eastAsia="Calibri" w:hAnsi="Calibri" w:cs="Calibri"/>
          <w:color w:val="595959"/>
        </w:rPr>
        <w:t xml:space="preserve">ξαγωγών </w:t>
      </w:r>
      <w:r w:rsidR="00800CA7">
        <w:rPr>
          <w:rFonts w:ascii="Calibri" w:eastAsia="Calibri" w:hAnsi="Calibri" w:cs="Calibri"/>
          <w:color w:val="595959"/>
        </w:rPr>
        <w:t>Α</w:t>
      </w:r>
      <w:r w:rsidR="00CC37E0">
        <w:rPr>
          <w:rFonts w:ascii="Calibri" w:eastAsia="Calibri" w:hAnsi="Calibri" w:cs="Calibri"/>
          <w:color w:val="595959"/>
        </w:rPr>
        <w:t xml:space="preserve">γαθών (13,6%) </w:t>
      </w:r>
      <w:r w:rsidR="00283CC6" w:rsidRPr="00575A7E">
        <w:rPr>
          <w:rFonts w:ascii="Calibri" w:eastAsia="Calibri" w:hAnsi="Calibri" w:cs="Calibri"/>
          <w:color w:val="595959"/>
        </w:rPr>
        <w:t>και η μείωση των Εισαγωγών</w:t>
      </w:r>
      <w:r w:rsidR="00CC37E0">
        <w:rPr>
          <w:rFonts w:ascii="Calibri" w:eastAsia="Calibri" w:hAnsi="Calibri" w:cs="Calibri"/>
          <w:color w:val="595959"/>
        </w:rPr>
        <w:t xml:space="preserve"> </w:t>
      </w:r>
      <w:r w:rsidR="00800CA7">
        <w:rPr>
          <w:rFonts w:ascii="Calibri" w:eastAsia="Calibri" w:hAnsi="Calibri" w:cs="Calibri"/>
          <w:color w:val="595959"/>
        </w:rPr>
        <w:t>Α</w:t>
      </w:r>
      <w:r w:rsidR="00CC37E0">
        <w:rPr>
          <w:rFonts w:ascii="Calibri" w:eastAsia="Calibri" w:hAnsi="Calibri" w:cs="Calibri"/>
          <w:color w:val="595959"/>
        </w:rPr>
        <w:t xml:space="preserve">γαθών (-2%) και </w:t>
      </w:r>
      <w:r w:rsidR="00800CA7">
        <w:rPr>
          <w:rFonts w:ascii="Calibri" w:eastAsia="Calibri" w:hAnsi="Calibri" w:cs="Calibri"/>
          <w:color w:val="595959"/>
        </w:rPr>
        <w:t>Υ</w:t>
      </w:r>
      <w:r w:rsidR="00CC37E0">
        <w:rPr>
          <w:rFonts w:ascii="Calibri" w:eastAsia="Calibri" w:hAnsi="Calibri" w:cs="Calibri"/>
          <w:color w:val="595959"/>
        </w:rPr>
        <w:t>πηρεσιών (-30,9%</w:t>
      </w:r>
      <w:r w:rsidR="0020645C">
        <w:rPr>
          <w:rFonts w:ascii="Calibri" w:eastAsia="Calibri" w:hAnsi="Calibri" w:cs="Calibri"/>
          <w:color w:val="595959"/>
        </w:rPr>
        <w:t>)</w:t>
      </w:r>
      <w:r w:rsidR="00283CC6" w:rsidRPr="00575A7E">
        <w:rPr>
          <w:rFonts w:ascii="Calibri" w:eastAsia="Calibri" w:hAnsi="Calibri" w:cs="Calibri"/>
          <w:color w:val="595959"/>
        </w:rPr>
        <w:t xml:space="preserve"> δεν ήταν ικανή να αντισταθμίσει τη μεγάλη μείωση των </w:t>
      </w:r>
      <w:r w:rsidR="00800CA7">
        <w:rPr>
          <w:rFonts w:ascii="Calibri" w:eastAsia="Calibri" w:hAnsi="Calibri" w:cs="Calibri"/>
          <w:color w:val="595959"/>
        </w:rPr>
        <w:t>Ε</w:t>
      </w:r>
      <w:r w:rsidR="00283CC6" w:rsidRPr="00575A7E">
        <w:rPr>
          <w:rFonts w:ascii="Calibri" w:eastAsia="Calibri" w:hAnsi="Calibri" w:cs="Calibri"/>
          <w:color w:val="595959"/>
        </w:rPr>
        <w:t>ξαγωγών</w:t>
      </w:r>
      <w:r w:rsidR="00CC37E0">
        <w:rPr>
          <w:rFonts w:ascii="Calibri" w:eastAsia="Calibri" w:hAnsi="Calibri" w:cs="Calibri"/>
          <w:color w:val="595959"/>
        </w:rPr>
        <w:t xml:space="preserve"> </w:t>
      </w:r>
      <w:r w:rsidR="00800CA7">
        <w:rPr>
          <w:rFonts w:ascii="Calibri" w:eastAsia="Calibri" w:hAnsi="Calibri" w:cs="Calibri"/>
          <w:color w:val="595959"/>
        </w:rPr>
        <w:t>Υ</w:t>
      </w:r>
      <w:r w:rsidR="00CC37E0">
        <w:rPr>
          <w:rFonts w:ascii="Calibri" w:eastAsia="Calibri" w:hAnsi="Calibri" w:cs="Calibri"/>
          <w:color w:val="595959"/>
        </w:rPr>
        <w:t>πηρεσιών</w:t>
      </w:r>
      <w:r w:rsidR="00283CC6" w:rsidRPr="00575A7E">
        <w:rPr>
          <w:rFonts w:ascii="Calibri" w:eastAsia="Calibri" w:hAnsi="Calibri" w:cs="Calibri"/>
          <w:color w:val="595959"/>
        </w:rPr>
        <w:t xml:space="preserve">. Οι Επενδύσεις (Ακαθάριστος </w:t>
      </w:r>
      <w:r w:rsidR="00800CA7">
        <w:rPr>
          <w:rFonts w:ascii="Calibri" w:eastAsia="Calibri" w:hAnsi="Calibri" w:cs="Calibri"/>
          <w:color w:val="595959"/>
        </w:rPr>
        <w:t>Σ</w:t>
      </w:r>
      <w:r w:rsidR="00283CC6" w:rsidRPr="00575A7E">
        <w:rPr>
          <w:rFonts w:ascii="Calibri" w:eastAsia="Calibri" w:hAnsi="Calibri" w:cs="Calibri"/>
          <w:color w:val="595959"/>
        </w:rPr>
        <w:t xml:space="preserve">χηματισμός </w:t>
      </w:r>
      <w:r w:rsidR="00800CA7">
        <w:rPr>
          <w:rFonts w:ascii="Calibri" w:eastAsia="Calibri" w:hAnsi="Calibri" w:cs="Calibri"/>
          <w:color w:val="595959"/>
        </w:rPr>
        <w:t>Π</w:t>
      </w:r>
      <w:r w:rsidR="00283CC6" w:rsidRPr="00575A7E">
        <w:rPr>
          <w:rFonts w:ascii="Calibri" w:eastAsia="Calibri" w:hAnsi="Calibri" w:cs="Calibri"/>
          <w:color w:val="595959"/>
        </w:rPr>
        <w:t xml:space="preserve">αγίου </w:t>
      </w:r>
      <w:r w:rsidR="00800CA7">
        <w:rPr>
          <w:rFonts w:ascii="Calibri" w:eastAsia="Calibri" w:hAnsi="Calibri" w:cs="Calibri"/>
          <w:color w:val="595959"/>
        </w:rPr>
        <w:t>Κ</w:t>
      </w:r>
      <w:r w:rsidR="00283CC6" w:rsidRPr="00575A7E">
        <w:rPr>
          <w:rFonts w:ascii="Calibri" w:eastAsia="Calibri" w:hAnsi="Calibri" w:cs="Calibri"/>
          <w:color w:val="595959"/>
        </w:rPr>
        <w:t xml:space="preserve">εφαλαίου) παρουσίασαν άνοδο (1,6%). </w:t>
      </w:r>
    </w:p>
    <w:p w14:paraId="05A5E516" w14:textId="77777777" w:rsidR="00283CC6" w:rsidRPr="00575A7E" w:rsidRDefault="00283CC6" w:rsidP="003B1BE9">
      <w:pPr>
        <w:pStyle w:val="ae"/>
        <w:keepNext/>
        <w:spacing w:after="0" w:line="276" w:lineRule="auto"/>
        <w:rPr>
          <w:i w:val="0"/>
          <w:iCs w:val="0"/>
          <w:sz w:val="22"/>
          <w:szCs w:val="22"/>
        </w:rPr>
      </w:pPr>
    </w:p>
    <w:p w14:paraId="48523051" w14:textId="4FCF3B70" w:rsidR="00472030" w:rsidRPr="00575A7E" w:rsidRDefault="00D960BC" w:rsidP="00D960BC">
      <w:pPr>
        <w:pStyle w:val="ae"/>
        <w:jc w:val="center"/>
      </w:pPr>
      <w:bookmarkStart w:id="27" w:name="_Toc67396680"/>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1</w:t>
      </w:r>
      <w:r w:rsidR="0096217C">
        <w:rPr>
          <w:noProof/>
        </w:rPr>
        <w:fldChar w:fldCharType="end"/>
      </w:r>
      <w:r w:rsidR="00472030" w:rsidRPr="00575A7E">
        <w:t xml:space="preserve"> ΑΕΠ και συνιστώσες, ποσοστιαίες μεταβολές (%)</w:t>
      </w:r>
      <w:bookmarkEnd w:id="27"/>
    </w:p>
    <w:tbl>
      <w:tblPr>
        <w:tblW w:w="8306" w:type="dxa"/>
        <w:jc w:val="center"/>
        <w:tblLayout w:type="fixed"/>
        <w:tblLook w:val="04A0" w:firstRow="1" w:lastRow="0" w:firstColumn="1" w:lastColumn="0" w:noHBand="0" w:noVBand="1"/>
      </w:tblPr>
      <w:tblGrid>
        <w:gridCol w:w="1276"/>
        <w:gridCol w:w="992"/>
        <w:gridCol w:w="862"/>
        <w:gridCol w:w="863"/>
        <w:gridCol w:w="862"/>
        <w:gridCol w:w="863"/>
        <w:gridCol w:w="862"/>
        <w:gridCol w:w="863"/>
        <w:gridCol w:w="863"/>
      </w:tblGrid>
      <w:tr w:rsidR="00283CC6" w:rsidRPr="009926BC" w14:paraId="344028A2" w14:textId="77777777" w:rsidTr="006D482B">
        <w:trPr>
          <w:trHeight w:val="300"/>
          <w:jc w:val="center"/>
        </w:trPr>
        <w:tc>
          <w:tcPr>
            <w:tcW w:w="1276" w:type="dxa"/>
            <w:tcBorders>
              <w:top w:val="nil"/>
              <w:left w:val="nil"/>
              <w:bottom w:val="single" w:sz="4" w:space="0" w:color="auto"/>
              <w:right w:val="nil"/>
            </w:tcBorders>
            <w:shd w:val="clear" w:color="auto" w:fill="auto"/>
            <w:noWrap/>
            <w:vAlign w:val="center"/>
            <w:hideMark/>
          </w:tcPr>
          <w:p w14:paraId="14147D87" w14:textId="77777777" w:rsidR="00283CC6" w:rsidRPr="009926BC" w:rsidRDefault="00283CC6" w:rsidP="009926BC">
            <w:pPr>
              <w:spacing w:after="0" w:line="240" w:lineRule="auto"/>
              <w:ind w:right="742"/>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 </w:t>
            </w:r>
          </w:p>
        </w:tc>
        <w:tc>
          <w:tcPr>
            <w:tcW w:w="992" w:type="dxa"/>
            <w:tcBorders>
              <w:top w:val="nil"/>
              <w:left w:val="nil"/>
              <w:bottom w:val="single" w:sz="4" w:space="0" w:color="auto"/>
              <w:right w:val="nil"/>
            </w:tcBorders>
            <w:shd w:val="clear" w:color="auto" w:fill="auto"/>
            <w:noWrap/>
            <w:vAlign w:val="bottom"/>
            <w:hideMark/>
          </w:tcPr>
          <w:p w14:paraId="71205F4F"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 </w:t>
            </w:r>
          </w:p>
        </w:tc>
        <w:tc>
          <w:tcPr>
            <w:tcW w:w="862" w:type="dxa"/>
            <w:tcBorders>
              <w:top w:val="nil"/>
              <w:left w:val="nil"/>
              <w:bottom w:val="single" w:sz="4" w:space="0" w:color="auto"/>
              <w:right w:val="nil"/>
            </w:tcBorders>
            <w:shd w:val="clear" w:color="auto" w:fill="auto"/>
            <w:noWrap/>
            <w:vAlign w:val="center"/>
            <w:hideMark/>
          </w:tcPr>
          <w:p w14:paraId="01F54D8B"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val="en-US" w:eastAsia="el-GR"/>
              </w:rPr>
            </w:pPr>
            <w:r w:rsidRPr="009926BC">
              <w:rPr>
                <w:rFonts w:ascii="Calibri Light" w:eastAsia="Times New Roman" w:hAnsi="Calibri Light" w:cs="Calibri Light"/>
                <w:color w:val="595959"/>
                <w:sz w:val="18"/>
                <w:szCs w:val="18"/>
                <w:lang w:eastAsia="el-GR"/>
              </w:rPr>
              <w:t>201</w:t>
            </w:r>
            <w:r w:rsidRPr="009926BC">
              <w:rPr>
                <w:rFonts w:ascii="Calibri Light" w:eastAsia="Times New Roman" w:hAnsi="Calibri Light" w:cs="Calibri Light"/>
                <w:color w:val="595959"/>
                <w:sz w:val="18"/>
                <w:szCs w:val="18"/>
                <w:lang w:val="en-US" w:eastAsia="el-GR"/>
              </w:rPr>
              <w:t>8</w:t>
            </w:r>
          </w:p>
        </w:tc>
        <w:tc>
          <w:tcPr>
            <w:tcW w:w="863" w:type="dxa"/>
            <w:tcBorders>
              <w:top w:val="nil"/>
              <w:left w:val="nil"/>
              <w:bottom w:val="single" w:sz="4" w:space="0" w:color="auto"/>
              <w:right w:val="nil"/>
            </w:tcBorders>
            <w:shd w:val="clear" w:color="auto" w:fill="auto"/>
            <w:noWrap/>
            <w:vAlign w:val="center"/>
            <w:hideMark/>
          </w:tcPr>
          <w:p w14:paraId="3AAC7A14"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val="en-US" w:eastAsia="el-GR"/>
              </w:rPr>
            </w:pPr>
            <w:r w:rsidRPr="009926BC">
              <w:rPr>
                <w:rFonts w:ascii="Calibri Light" w:eastAsia="Times New Roman" w:hAnsi="Calibri Light" w:cs="Calibri Light"/>
                <w:color w:val="595959"/>
                <w:sz w:val="18"/>
                <w:szCs w:val="18"/>
                <w:lang w:eastAsia="el-GR"/>
              </w:rPr>
              <w:t>201</w:t>
            </w:r>
            <w:r w:rsidRPr="009926BC">
              <w:rPr>
                <w:rFonts w:ascii="Calibri Light" w:eastAsia="Times New Roman" w:hAnsi="Calibri Light" w:cs="Calibri Light"/>
                <w:color w:val="595959"/>
                <w:sz w:val="18"/>
                <w:szCs w:val="18"/>
                <w:lang w:val="en-US" w:eastAsia="el-GR"/>
              </w:rPr>
              <w:t>9</w:t>
            </w:r>
          </w:p>
        </w:tc>
        <w:tc>
          <w:tcPr>
            <w:tcW w:w="862" w:type="dxa"/>
            <w:tcBorders>
              <w:top w:val="nil"/>
              <w:left w:val="nil"/>
              <w:bottom w:val="single" w:sz="4" w:space="0" w:color="auto"/>
              <w:right w:val="nil"/>
            </w:tcBorders>
            <w:shd w:val="clear" w:color="auto" w:fill="auto"/>
            <w:noWrap/>
            <w:vAlign w:val="center"/>
            <w:hideMark/>
          </w:tcPr>
          <w:p w14:paraId="05D42E08"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val="en-US" w:eastAsia="el-GR"/>
              </w:rPr>
            </w:pPr>
            <w:r w:rsidRPr="009926BC">
              <w:rPr>
                <w:rFonts w:ascii="Calibri Light" w:eastAsia="Times New Roman" w:hAnsi="Calibri Light" w:cs="Calibri Light"/>
                <w:color w:val="595959"/>
                <w:sz w:val="18"/>
                <w:szCs w:val="18"/>
                <w:lang w:eastAsia="el-GR"/>
              </w:rPr>
              <w:t>20</w:t>
            </w:r>
            <w:r w:rsidRPr="009926BC">
              <w:rPr>
                <w:rFonts w:ascii="Calibri Light" w:eastAsia="Times New Roman" w:hAnsi="Calibri Light" w:cs="Calibri Light"/>
                <w:color w:val="595959"/>
                <w:sz w:val="18"/>
                <w:szCs w:val="18"/>
                <w:lang w:val="en-US" w:eastAsia="el-GR"/>
              </w:rPr>
              <w:t>20</w:t>
            </w:r>
          </w:p>
        </w:tc>
        <w:tc>
          <w:tcPr>
            <w:tcW w:w="863" w:type="dxa"/>
            <w:tcBorders>
              <w:top w:val="nil"/>
              <w:left w:val="nil"/>
              <w:bottom w:val="single" w:sz="4" w:space="0" w:color="auto"/>
              <w:right w:val="nil"/>
            </w:tcBorders>
            <w:shd w:val="clear" w:color="auto" w:fill="auto"/>
            <w:noWrap/>
            <w:vAlign w:val="center"/>
            <w:hideMark/>
          </w:tcPr>
          <w:p w14:paraId="37F6AE71"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val="en-US" w:eastAsia="el-GR"/>
              </w:rPr>
            </w:pPr>
            <w:r w:rsidRPr="009926BC">
              <w:rPr>
                <w:rFonts w:ascii="Calibri Light" w:eastAsia="Times New Roman" w:hAnsi="Calibri Light" w:cs="Calibri Light"/>
                <w:color w:val="595959"/>
                <w:sz w:val="18"/>
                <w:szCs w:val="18"/>
                <w:lang w:eastAsia="el-GR"/>
              </w:rPr>
              <w:t>20</w:t>
            </w:r>
            <w:r w:rsidRPr="009926BC">
              <w:rPr>
                <w:rFonts w:ascii="Calibri Light" w:eastAsia="Times New Roman" w:hAnsi="Calibri Light" w:cs="Calibri Light"/>
                <w:color w:val="595959"/>
                <w:sz w:val="18"/>
                <w:szCs w:val="18"/>
                <w:lang w:val="en-US" w:eastAsia="el-GR"/>
              </w:rPr>
              <w:t>20</w:t>
            </w:r>
            <w:r w:rsidRPr="009926BC">
              <w:rPr>
                <w:rFonts w:ascii="Calibri Light" w:eastAsia="Times New Roman" w:hAnsi="Calibri Light" w:cs="Calibri Light"/>
                <w:color w:val="595959"/>
                <w:sz w:val="18"/>
                <w:szCs w:val="18"/>
                <w:lang w:eastAsia="el-GR"/>
              </w:rPr>
              <w:t>-Q</w:t>
            </w:r>
            <w:r w:rsidRPr="009926BC">
              <w:rPr>
                <w:rFonts w:ascii="Calibri Light" w:eastAsia="Times New Roman" w:hAnsi="Calibri Light" w:cs="Calibri Light"/>
                <w:color w:val="595959"/>
                <w:sz w:val="18"/>
                <w:szCs w:val="18"/>
                <w:lang w:val="en-US" w:eastAsia="el-GR"/>
              </w:rPr>
              <w:t>1</w:t>
            </w:r>
          </w:p>
        </w:tc>
        <w:tc>
          <w:tcPr>
            <w:tcW w:w="862" w:type="dxa"/>
            <w:tcBorders>
              <w:top w:val="nil"/>
              <w:left w:val="nil"/>
              <w:bottom w:val="single" w:sz="4" w:space="0" w:color="auto"/>
              <w:right w:val="nil"/>
            </w:tcBorders>
            <w:shd w:val="clear" w:color="auto" w:fill="auto"/>
            <w:noWrap/>
            <w:vAlign w:val="center"/>
            <w:hideMark/>
          </w:tcPr>
          <w:p w14:paraId="0D8EEE1C"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val="en-US" w:eastAsia="el-GR"/>
              </w:rPr>
            </w:pPr>
            <w:r w:rsidRPr="009926BC">
              <w:rPr>
                <w:rFonts w:ascii="Calibri Light" w:eastAsia="Times New Roman" w:hAnsi="Calibri Light" w:cs="Calibri Light"/>
                <w:color w:val="595959"/>
                <w:sz w:val="18"/>
                <w:szCs w:val="18"/>
                <w:lang w:eastAsia="el-GR"/>
              </w:rPr>
              <w:t>20</w:t>
            </w:r>
            <w:r w:rsidRPr="009926BC">
              <w:rPr>
                <w:rFonts w:ascii="Calibri Light" w:eastAsia="Times New Roman" w:hAnsi="Calibri Light" w:cs="Calibri Light"/>
                <w:color w:val="595959"/>
                <w:sz w:val="18"/>
                <w:szCs w:val="18"/>
                <w:lang w:val="en-US" w:eastAsia="el-GR"/>
              </w:rPr>
              <w:t>20</w:t>
            </w:r>
            <w:r w:rsidRPr="009926BC">
              <w:rPr>
                <w:rFonts w:ascii="Calibri Light" w:eastAsia="Times New Roman" w:hAnsi="Calibri Light" w:cs="Calibri Light"/>
                <w:color w:val="595959"/>
                <w:sz w:val="18"/>
                <w:szCs w:val="18"/>
                <w:lang w:eastAsia="el-GR"/>
              </w:rPr>
              <w:t>-Q</w:t>
            </w:r>
            <w:r w:rsidRPr="009926BC">
              <w:rPr>
                <w:rFonts w:ascii="Calibri Light" w:eastAsia="Times New Roman" w:hAnsi="Calibri Light" w:cs="Calibri Light"/>
                <w:color w:val="595959"/>
                <w:sz w:val="18"/>
                <w:szCs w:val="18"/>
                <w:lang w:val="en-US" w:eastAsia="el-GR"/>
              </w:rPr>
              <w:t>2</w:t>
            </w:r>
          </w:p>
        </w:tc>
        <w:tc>
          <w:tcPr>
            <w:tcW w:w="863" w:type="dxa"/>
            <w:tcBorders>
              <w:top w:val="nil"/>
              <w:left w:val="nil"/>
              <w:bottom w:val="single" w:sz="4" w:space="0" w:color="auto"/>
              <w:right w:val="nil"/>
            </w:tcBorders>
            <w:vAlign w:val="center"/>
          </w:tcPr>
          <w:p w14:paraId="3F515F78"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20</w:t>
            </w:r>
            <w:r w:rsidRPr="009926BC">
              <w:rPr>
                <w:rFonts w:ascii="Calibri Light" w:eastAsia="Times New Roman" w:hAnsi="Calibri Light" w:cs="Calibri Light"/>
                <w:color w:val="595959"/>
                <w:sz w:val="18"/>
                <w:szCs w:val="18"/>
                <w:lang w:val="en-US" w:eastAsia="el-GR"/>
              </w:rPr>
              <w:t>20</w:t>
            </w:r>
            <w:r w:rsidRPr="009926BC">
              <w:rPr>
                <w:rFonts w:ascii="Calibri Light" w:eastAsia="Times New Roman" w:hAnsi="Calibri Light" w:cs="Calibri Light"/>
                <w:color w:val="595959"/>
                <w:sz w:val="18"/>
                <w:szCs w:val="18"/>
                <w:lang w:eastAsia="el-GR"/>
              </w:rPr>
              <w:t>-Q3</w:t>
            </w:r>
          </w:p>
        </w:tc>
        <w:tc>
          <w:tcPr>
            <w:tcW w:w="863" w:type="dxa"/>
            <w:tcBorders>
              <w:top w:val="nil"/>
              <w:left w:val="nil"/>
              <w:bottom w:val="single" w:sz="4" w:space="0" w:color="auto"/>
              <w:right w:val="nil"/>
            </w:tcBorders>
            <w:vAlign w:val="center"/>
          </w:tcPr>
          <w:p w14:paraId="2FC85A62" w14:textId="77777777" w:rsidR="00283CC6" w:rsidRPr="009926BC" w:rsidRDefault="00283CC6" w:rsidP="009926BC">
            <w:pPr>
              <w:spacing w:after="0" w:line="240" w:lineRule="auto"/>
              <w:jc w:val="center"/>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20</w:t>
            </w:r>
            <w:r w:rsidRPr="009926BC">
              <w:rPr>
                <w:rFonts w:ascii="Calibri Light" w:eastAsia="Times New Roman" w:hAnsi="Calibri Light" w:cs="Calibri Light"/>
                <w:color w:val="595959"/>
                <w:sz w:val="18"/>
                <w:szCs w:val="18"/>
                <w:lang w:val="en-US" w:eastAsia="el-GR"/>
              </w:rPr>
              <w:t>20</w:t>
            </w:r>
            <w:r w:rsidRPr="009926BC">
              <w:rPr>
                <w:rFonts w:ascii="Calibri Light" w:eastAsia="Times New Roman" w:hAnsi="Calibri Light" w:cs="Calibri Light"/>
                <w:color w:val="595959"/>
                <w:sz w:val="18"/>
                <w:szCs w:val="18"/>
                <w:lang w:eastAsia="el-GR"/>
              </w:rPr>
              <w:t>-Q4</w:t>
            </w:r>
          </w:p>
        </w:tc>
      </w:tr>
      <w:tr w:rsidR="00283CC6" w:rsidRPr="009926BC" w14:paraId="6627AAB7" w14:textId="77777777" w:rsidTr="006D482B">
        <w:trPr>
          <w:trHeight w:val="300"/>
          <w:jc w:val="center"/>
        </w:trPr>
        <w:tc>
          <w:tcPr>
            <w:tcW w:w="1276" w:type="dxa"/>
            <w:vMerge w:val="restart"/>
            <w:tcBorders>
              <w:top w:val="nil"/>
              <w:left w:val="nil"/>
              <w:bottom w:val="nil"/>
              <w:right w:val="nil"/>
            </w:tcBorders>
            <w:shd w:val="clear" w:color="auto" w:fill="auto"/>
            <w:vAlign w:val="center"/>
            <w:hideMark/>
          </w:tcPr>
          <w:p w14:paraId="1C63B030"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 xml:space="preserve">Ιδιωτική Κατανάλωση </w:t>
            </w:r>
          </w:p>
        </w:tc>
        <w:tc>
          <w:tcPr>
            <w:tcW w:w="992" w:type="dxa"/>
            <w:tcBorders>
              <w:top w:val="nil"/>
              <w:left w:val="nil"/>
              <w:bottom w:val="nil"/>
              <w:right w:val="nil"/>
            </w:tcBorders>
            <w:shd w:val="clear" w:color="auto" w:fill="auto"/>
            <w:noWrap/>
            <w:vAlign w:val="center"/>
            <w:hideMark/>
          </w:tcPr>
          <w:p w14:paraId="376AD30A"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bottom w:val="nil"/>
              <w:right w:val="nil"/>
            </w:tcBorders>
            <w:shd w:val="clear" w:color="auto" w:fill="auto"/>
            <w:noWrap/>
            <w:vAlign w:val="center"/>
          </w:tcPr>
          <w:p w14:paraId="182F09E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2,3</w:t>
            </w:r>
          </w:p>
        </w:tc>
        <w:tc>
          <w:tcPr>
            <w:tcW w:w="863" w:type="dxa"/>
            <w:tcBorders>
              <w:top w:val="nil"/>
              <w:left w:val="nil"/>
              <w:bottom w:val="nil"/>
              <w:right w:val="nil"/>
            </w:tcBorders>
            <w:shd w:val="clear" w:color="auto" w:fill="auto"/>
            <w:noWrap/>
            <w:vAlign w:val="center"/>
          </w:tcPr>
          <w:p w14:paraId="5F9C235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1,9</w:t>
            </w:r>
          </w:p>
        </w:tc>
        <w:tc>
          <w:tcPr>
            <w:tcW w:w="862" w:type="dxa"/>
            <w:tcBorders>
              <w:top w:val="nil"/>
              <w:left w:val="nil"/>
              <w:bottom w:val="nil"/>
              <w:right w:val="nil"/>
            </w:tcBorders>
            <w:shd w:val="clear" w:color="auto" w:fill="auto"/>
            <w:noWrap/>
            <w:vAlign w:val="center"/>
          </w:tcPr>
          <w:p w14:paraId="04045F1B"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-5,2</w:t>
            </w:r>
          </w:p>
        </w:tc>
        <w:tc>
          <w:tcPr>
            <w:tcW w:w="863" w:type="dxa"/>
            <w:tcBorders>
              <w:top w:val="nil"/>
              <w:left w:val="nil"/>
              <w:bottom w:val="nil"/>
              <w:right w:val="nil"/>
            </w:tcBorders>
            <w:shd w:val="clear" w:color="auto" w:fill="auto"/>
            <w:noWrap/>
            <w:vAlign w:val="center"/>
          </w:tcPr>
          <w:p w14:paraId="36C13F8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0,2</w:t>
            </w:r>
          </w:p>
        </w:tc>
        <w:tc>
          <w:tcPr>
            <w:tcW w:w="862" w:type="dxa"/>
            <w:tcBorders>
              <w:top w:val="nil"/>
              <w:left w:val="nil"/>
              <w:bottom w:val="nil"/>
              <w:right w:val="nil"/>
            </w:tcBorders>
            <w:shd w:val="clear" w:color="auto" w:fill="auto"/>
            <w:noWrap/>
            <w:vAlign w:val="center"/>
          </w:tcPr>
          <w:p w14:paraId="2EAE60F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-12,9</w:t>
            </w:r>
          </w:p>
        </w:tc>
        <w:tc>
          <w:tcPr>
            <w:tcW w:w="863" w:type="dxa"/>
            <w:tcBorders>
              <w:top w:val="nil"/>
              <w:left w:val="nil"/>
              <w:bottom w:val="nil"/>
              <w:right w:val="nil"/>
            </w:tcBorders>
            <w:shd w:val="clear" w:color="auto" w:fill="auto"/>
            <w:vAlign w:val="center"/>
          </w:tcPr>
          <w:p w14:paraId="72CB2F3C"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-1,6</w:t>
            </w:r>
          </w:p>
        </w:tc>
        <w:tc>
          <w:tcPr>
            <w:tcW w:w="863" w:type="dxa"/>
            <w:tcBorders>
              <w:top w:val="nil"/>
              <w:left w:val="nil"/>
              <w:bottom w:val="nil"/>
              <w:right w:val="nil"/>
            </w:tcBorders>
            <w:shd w:val="clear" w:color="auto" w:fill="auto"/>
            <w:vAlign w:val="center"/>
          </w:tcPr>
          <w:p w14:paraId="77DFF785"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-4,7</w:t>
            </w:r>
          </w:p>
        </w:tc>
      </w:tr>
      <w:tr w:rsidR="00283CC6" w:rsidRPr="009926BC" w14:paraId="39DA6E09" w14:textId="77777777" w:rsidTr="006D482B">
        <w:trPr>
          <w:trHeight w:val="300"/>
          <w:jc w:val="center"/>
        </w:trPr>
        <w:tc>
          <w:tcPr>
            <w:tcW w:w="1276" w:type="dxa"/>
            <w:vMerge/>
            <w:tcBorders>
              <w:top w:val="nil"/>
              <w:left w:val="nil"/>
              <w:bottom w:val="nil"/>
              <w:right w:val="nil"/>
            </w:tcBorders>
            <w:vAlign w:val="center"/>
            <w:hideMark/>
          </w:tcPr>
          <w:p w14:paraId="1ACD22FF"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4AC4556C"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nil"/>
              <w:right w:val="nil"/>
            </w:tcBorders>
            <w:shd w:val="clear" w:color="auto" w:fill="auto"/>
            <w:noWrap/>
            <w:vAlign w:val="center"/>
          </w:tcPr>
          <w:p w14:paraId="690DE05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5463FD6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1AFC970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6739EB9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-1,3</w:t>
            </w:r>
          </w:p>
        </w:tc>
        <w:tc>
          <w:tcPr>
            <w:tcW w:w="862" w:type="dxa"/>
            <w:tcBorders>
              <w:top w:val="nil"/>
              <w:left w:val="nil"/>
              <w:bottom w:val="nil"/>
              <w:right w:val="nil"/>
            </w:tcBorders>
            <w:shd w:val="clear" w:color="auto" w:fill="auto"/>
            <w:noWrap/>
            <w:vAlign w:val="center"/>
          </w:tcPr>
          <w:p w14:paraId="3410AF3E"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-12,9</w:t>
            </w:r>
          </w:p>
        </w:tc>
        <w:tc>
          <w:tcPr>
            <w:tcW w:w="863" w:type="dxa"/>
            <w:tcBorders>
              <w:top w:val="nil"/>
              <w:left w:val="nil"/>
              <w:bottom w:val="nil"/>
              <w:right w:val="nil"/>
            </w:tcBorders>
            <w:shd w:val="clear" w:color="auto" w:fill="auto"/>
            <w:vAlign w:val="center"/>
          </w:tcPr>
          <w:p w14:paraId="7F1FA2C1"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13,3</w:t>
            </w:r>
          </w:p>
        </w:tc>
        <w:tc>
          <w:tcPr>
            <w:tcW w:w="863" w:type="dxa"/>
            <w:tcBorders>
              <w:top w:val="nil"/>
              <w:left w:val="nil"/>
              <w:bottom w:val="nil"/>
              <w:right w:val="nil"/>
            </w:tcBorders>
            <w:shd w:val="clear" w:color="auto" w:fill="auto"/>
            <w:vAlign w:val="center"/>
          </w:tcPr>
          <w:p w14:paraId="7BB3C005"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-2,2</w:t>
            </w:r>
          </w:p>
        </w:tc>
      </w:tr>
      <w:tr w:rsidR="00283CC6" w:rsidRPr="009926BC" w14:paraId="7876E6E3" w14:textId="77777777" w:rsidTr="006D482B">
        <w:trPr>
          <w:trHeight w:val="80"/>
          <w:jc w:val="center"/>
        </w:trPr>
        <w:tc>
          <w:tcPr>
            <w:tcW w:w="1276" w:type="dxa"/>
            <w:tcBorders>
              <w:top w:val="nil"/>
              <w:left w:val="nil"/>
              <w:bottom w:val="nil"/>
              <w:right w:val="nil"/>
            </w:tcBorders>
            <w:shd w:val="clear" w:color="auto" w:fill="auto"/>
            <w:vAlign w:val="center"/>
            <w:hideMark/>
          </w:tcPr>
          <w:p w14:paraId="0BBC309B"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4DA15BE9"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862" w:type="dxa"/>
            <w:tcBorders>
              <w:top w:val="nil"/>
              <w:left w:val="nil"/>
              <w:bottom w:val="nil"/>
              <w:right w:val="nil"/>
            </w:tcBorders>
            <w:shd w:val="clear" w:color="auto" w:fill="auto"/>
            <w:noWrap/>
            <w:vAlign w:val="center"/>
          </w:tcPr>
          <w:p w14:paraId="424FDCE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0CDB3D6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51D0437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3DB8B69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7240DB6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3D2EBD0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451602D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r>
      <w:tr w:rsidR="00283CC6" w:rsidRPr="009926BC" w14:paraId="0E3FB11F" w14:textId="77777777" w:rsidTr="006D482B">
        <w:trPr>
          <w:trHeight w:val="300"/>
          <w:jc w:val="center"/>
        </w:trPr>
        <w:tc>
          <w:tcPr>
            <w:tcW w:w="1276" w:type="dxa"/>
            <w:vMerge w:val="restart"/>
            <w:tcBorders>
              <w:top w:val="nil"/>
              <w:left w:val="nil"/>
              <w:bottom w:val="nil"/>
              <w:right w:val="nil"/>
            </w:tcBorders>
            <w:shd w:val="clear" w:color="auto" w:fill="auto"/>
            <w:vAlign w:val="center"/>
            <w:hideMark/>
          </w:tcPr>
          <w:p w14:paraId="04847FF0"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Δημόσια Κατανάλωση</w:t>
            </w:r>
          </w:p>
        </w:tc>
        <w:tc>
          <w:tcPr>
            <w:tcW w:w="992" w:type="dxa"/>
            <w:tcBorders>
              <w:top w:val="nil"/>
              <w:left w:val="nil"/>
              <w:bottom w:val="nil"/>
              <w:right w:val="nil"/>
            </w:tcBorders>
            <w:shd w:val="clear" w:color="auto" w:fill="auto"/>
            <w:noWrap/>
            <w:vAlign w:val="center"/>
            <w:hideMark/>
          </w:tcPr>
          <w:p w14:paraId="6A2CDC32"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bottom w:val="nil"/>
              <w:right w:val="nil"/>
            </w:tcBorders>
            <w:shd w:val="clear" w:color="auto" w:fill="auto"/>
            <w:noWrap/>
            <w:vAlign w:val="center"/>
          </w:tcPr>
          <w:p w14:paraId="56086B5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-4,2</w:t>
            </w:r>
          </w:p>
        </w:tc>
        <w:tc>
          <w:tcPr>
            <w:tcW w:w="863" w:type="dxa"/>
            <w:tcBorders>
              <w:top w:val="nil"/>
              <w:left w:val="nil"/>
              <w:bottom w:val="nil"/>
              <w:right w:val="nil"/>
            </w:tcBorders>
            <w:shd w:val="clear" w:color="auto" w:fill="auto"/>
            <w:noWrap/>
            <w:vAlign w:val="center"/>
          </w:tcPr>
          <w:p w14:paraId="1C0AC82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1,2</w:t>
            </w:r>
          </w:p>
        </w:tc>
        <w:tc>
          <w:tcPr>
            <w:tcW w:w="862" w:type="dxa"/>
            <w:tcBorders>
              <w:top w:val="nil"/>
              <w:left w:val="nil"/>
              <w:bottom w:val="nil"/>
              <w:right w:val="nil"/>
            </w:tcBorders>
            <w:shd w:val="clear" w:color="auto" w:fill="auto"/>
            <w:noWrap/>
            <w:vAlign w:val="center"/>
          </w:tcPr>
          <w:p w14:paraId="64ACD74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2,7</w:t>
            </w:r>
          </w:p>
        </w:tc>
        <w:tc>
          <w:tcPr>
            <w:tcW w:w="863" w:type="dxa"/>
            <w:tcBorders>
              <w:top w:val="nil"/>
              <w:left w:val="nil"/>
              <w:bottom w:val="nil"/>
              <w:right w:val="nil"/>
            </w:tcBorders>
            <w:shd w:val="clear" w:color="auto" w:fill="auto"/>
            <w:noWrap/>
            <w:vAlign w:val="center"/>
          </w:tcPr>
          <w:p w14:paraId="55CAD21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1,4</w:t>
            </w:r>
          </w:p>
        </w:tc>
        <w:tc>
          <w:tcPr>
            <w:tcW w:w="862" w:type="dxa"/>
            <w:tcBorders>
              <w:top w:val="nil"/>
              <w:left w:val="nil"/>
              <w:bottom w:val="nil"/>
              <w:right w:val="nil"/>
            </w:tcBorders>
            <w:shd w:val="clear" w:color="auto" w:fill="auto"/>
            <w:noWrap/>
            <w:vAlign w:val="center"/>
          </w:tcPr>
          <w:p w14:paraId="60E9E73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-2,6</w:t>
            </w:r>
          </w:p>
        </w:tc>
        <w:tc>
          <w:tcPr>
            <w:tcW w:w="863" w:type="dxa"/>
            <w:tcBorders>
              <w:top w:val="nil"/>
              <w:left w:val="nil"/>
              <w:bottom w:val="nil"/>
              <w:right w:val="nil"/>
            </w:tcBorders>
            <w:shd w:val="clear" w:color="auto" w:fill="auto"/>
            <w:vAlign w:val="center"/>
          </w:tcPr>
          <w:p w14:paraId="0858DBD1"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4,8</w:t>
            </w:r>
          </w:p>
        </w:tc>
        <w:tc>
          <w:tcPr>
            <w:tcW w:w="863" w:type="dxa"/>
            <w:tcBorders>
              <w:top w:val="nil"/>
              <w:left w:val="nil"/>
              <w:bottom w:val="nil"/>
              <w:right w:val="nil"/>
            </w:tcBorders>
            <w:shd w:val="clear" w:color="auto" w:fill="auto"/>
            <w:vAlign w:val="center"/>
          </w:tcPr>
          <w:p w14:paraId="53F58D6F"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7,3</w:t>
            </w:r>
          </w:p>
        </w:tc>
      </w:tr>
      <w:tr w:rsidR="00283CC6" w:rsidRPr="009926BC" w14:paraId="36835D88" w14:textId="77777777" w:rsidTr="006D482B">
        <w:trPr>
          <w:trHeight w:val="300"/>
          <w:jc w:val="center"/>
        </w:trPr>
        <w:tc>
          <w:tcPr>
            <w:tcW w:w="1276" w:type="dxa"/>
            <w:vMerge/>
            <w:tcBorders>
              <w:top w:val="nil"/>
              <w:left w:val="nil"/>
              <w:bottom w:val="nil"/>
              <w:right w:val="nil"/>
            </w:tcBorders>
            <w:vAlign w:val="center"/>
            <w:hideMark/>
          </w:tcPr>
          <w:p w14:paraId="3C7AA4EA"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481576C1"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nil"/>
              <w:right w:val="nil"/>
            </w:tcBorders>
            <w:shd w:val="clear" w:color="auto" w:fill="auto"/>
            <w:noWrap/>
            <w:vAlign w:val="center"/>
          </w:tcPr>
          <w:p w14:paraId="7A79AA78"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288DAE1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5E5B680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73B230E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3,2</w:t>
            </w:r>
          </w:p>
        </w:tc>
        <w:tc>
          <w:tcPr>
            <w:tcW w:w="862" w:type="dxa"/>
            <w:tcBorders>
              <w:top w:val="nil"/>
              <w:left w:val="nil"/>
              <w:bottom w:val="nil"/>
              <w:right w:val="nil"/>
            </w:tcBorders>
            <w:shd w:val="clear" w:color="auto" w:fill="auto"/>
            <w:noWrap/>
            <w:vAlign w:val="center"/>
          </w:tcPr>
          <w:p w14:paraId="1609EFE6"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0,9</w:t>
            </w:r>
          </w:p>
        </w:tc>
        <w:tc>
          <w:tcPr>
            <w:tcW w:w="863" w:type="dxa"/>
            <w:tcBorders>
              <w:top w:val="nil"/>
              <w:left w:val="nil"/>
              <w:bottom w:val="nil"/>
              <w:right w:val="nil"/>
            </w:tcBorders>
            <w:shd w:val="clear" w:color="auto" w:fill="auto"/>
            <w:vAlign w:val="center"/>
          </w:tcPr>
          <w:p w14:paraId="1644FB09"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1,1</w:t>
            </w:r>
          </w:p>
        </w:tc>
        <w:tc>
          <w:tcPr>
            <w:tcW w:w="863" w:type="dxa"/>
            <w:tcBorders>
              <w:top w:val="nil"/>
              <w:left w:val="nil"/>
              <w:bottom w:val="nil"/>
              <w:right w:val="nil"/>
            </w:tcBorders>
            <w:shd w:val="clear" w:color="auto" w:fill="auto"/>
            <w:vAlign w:val="center"/>
          </w:tcPr>
          <w:p w14:paraId="6F5F4FC0"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1,9</w:t>
            </w:r>
          </w:p>
        </w:tc>
      </w:tr>
      <w:tr w:rsidR="00283CC6" w:rsidRPr="009926BC" w14:paraId="6A7E94F4" w14:textId="77777777" w:rsidTr="006D482B">
        <w:trPr>
          <w:trHeight w:val="95"/>
          <w:jc w:val="center"/>
        </w:trPr>
        <w:tc>
          <w:tcPr>
            <w:tcW w:w="1276" w:type="dxa"/>
            <w:tcBorders>
              <w:top w:val="nil"/>
              <w:left w:val="nil"/>
              <w:bottom w:val="nil"/>
              <w:right w:val="nil"/>
            </w:tcBorders>
            <w:shd w:val="clear" w:color="auto" w:fill="auto"/>
            <w:vAlign w:val="center"/>
            <w:hideMark/>
          </w:tcPr>
          <w:p w14:paraId="68A7E9B8"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0CBE2458"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862" w:type="dxa"/>
            <w:tcBorders>
              <w:top w:val="nil"/>
              <w:left w:val="nil"/>
              <w:bottom w:val="nil"/>
              <w:right w:val="nil"/>
            </w:tcBorders>
            <w:shd w:val="clear" w:color="auto" w:fill="auto"/>
            <w:noWrap/>
            <w:vAlign w:val="center"/>
          </w:tcPr>
          <w:p w14:paraId="7584F80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092CA10E"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102B4EA9"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6875623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7A44BF8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3A73793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7AFD8259"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r>
      <w:tr w:rsidR="00283CC6" w:rsidRPr="009926BC" w14:paraId="3EA3BA57" w14:textId="77777777" w:rsidTr="006D482B">
        <w:trPr>
          <w:trHeight w:val="300"/>
          <w:jc w:val="center"/>
        </w:trPr>
        <w:tc>
          <w:tcPr>
            <w:tcW w:w="1276" w:type="dxa"/>
            <w:vMerge w:val="restart"/>
            <w:tcBorders>
              <w:top w:val="nil"/>
              <w:left w:val="nil"/>
              <w:bottom w:val="nil"/>
              <w:right w:val="nil"/>
            </w:tcBorders>
            <w:shd w:val="clear" w:color="auto" w:fill="auto"/>
            <w:vAlign w:val="center"/>
            <w:hideMark/>
          </w:tcPr>
          <w:p w14:paraId="152541F7"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Ακαθάριστος σχηματισμός  παγίου κεφαλαίου</w:t>
            </w:r>
          </w:p>
        </w:tc>
        <w:tc>
          <w:tcPr>
            <w:tcW w:w="992" w:type="dxa"/>
            <w:tcBorders>
              <w:top w:val="nil"/>
              <w:left w:val="nil"/>
              <w:bottom w:val="nil"/>
              <w:right w:val="nil"/>
            </w:tcBorders>
            <w:shd w:val="clear" w:color="auto" w:fill="auto"/>
            <w:noWrap/>
            <w:vAlign w:val="center"/>
            <w:hideMark/>
          </w:tcPr>
          <w:p w14:paraId="516054BB"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bottom w:val="nil"/>
              <w:right w:val="nil"/>
            </w:tcBorders>
            <w:shd w:val="clear" w:color="auto" w:fill="auto"/>
            <w:noWrap/>
            <w:vAlign w:val="center"/>
          </w:tcPr>
          <w:p w14:paraId="779F660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-6,6</w:t>
            </w:r>
          </w:p>
        </w:tc>
        <w:tc>
          <w:tcPr>
            <w:tcW w:w="863" w:type="dxa"/>
            <w:tcBorders>
              <w:top w:val="nil"/>
              <w:left w:val="nil"/>
              <w:bottom w:val="nil"/>
              <w:right w:val="nil"/>
            </w:tcBorders>
            <w:shd w:val="clear" w:color="auto" w:fill="auto"/>
            <w:noWrap/>
            <w:vAlign w:val="center"/>
          </w:tcPr>
          <w:p w14:paraId="3919B0B9"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-4,6</w:t>
            </w:r>
          </w:p>
        </w:tc>
        <w:tc>
          <w:tcPr>
            <w:tcW w:w="862" w:type="dxa"/>
            <w:tcBorders>
              <w:top w:val="nil"/>
              <w:left w:val="nil"/>
              <w:bottom w:val="nil"/>
              <w:right w:val="nil"/>
            </w:tcBorders>
            <w:shd w:val="clear" w:color="auto" w:fill="auto"/>
            <w:noWrap/>
            <w:vAlign w:val="center"/>
          </w:tcPr>
          <w:p w14:paraId="299D7A0E" w14:textId="77777777" w:rsidR="00283CC6" w:rsidRPr="009926BC" w:rsidRDefault="00283CC6" w:rsidP="009926BC">
            <w:pPr>
              <w:spacing w:after="0" w:line="240" w:lineRule="auto"/>
              <w:jc w:val="center"/>
              <w:rPr>
                <w:rFonts w:ascii="Calibri" w:eastAsia="Times New Roman" w:hAnsi="Calibri" w:cs="Calibri"/>
                <w:color w:val="595959"/>
                <w:sz w:val="18"/>
                <w:szCs w:val="18"/>
                <w:lang w:val="en-US" w:eastAsia="el-GR"/>
              </w:rPr>
            </w:pPr>
            <w:r w:rsidRPr="009926BC">
              <w:rPr>
                <w:rFonts w:ascii="Calibri" w:hAnsi="Calibri" w:cs="Calibri"/>
                <w:color w:val="595959"/>
                <w:sz w:val="18"/>
                <w:szCs w:val="18"/>
              </w:rPr>
              <w:t>-0,6</w:t>
            </w:r>
          </w:p>
        </w:tc>
        <w:tc>
          <w:tcPr>
            <w:tcW w:w="863" w:type="dxa"/>
            <w:tcBorders>
              <w:top w:val="nil"/>
              <w:left w:val="nil"/>
              <w:bottom w:val="nil"/>
              <w:right w:val="nil"/>
            </w:tcBorders>
            <w:shd w:val="clear" w:color="auto" w:fill="auto"/>
            <w:noWrap/>
            <w:vAlign w:val="center"/>
          </w:tcPr>
          <w:p w14:paraId="1960448E"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-3,5</w:t>
            </w:r>
          </w:p>
        </w:tc>
        <w:tc>
          <w:tcPr>
            <w:tcW w:w="862" w:type="dxa"/>
            <w:tcBorders>
              <w:top w:val="nil"/>
              <w:left w:val="nil"/>
              <w:bottom w:val="nil"/>
              <w:right w:val="nil"/>
            </w:tcBorders>
            <w:shd w:val="clear" w:color="auto" w:fill="auto"/>
            <w:noWrap/>
            <w:vAlign w:val="center"/>
          </w:tcPr>
          <w:p w14:paraId="1D32AA6B"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4,4</w:t>
            </w:r>
          </w:p>
        </w:tc>
        <w:tc>
          <w:tcPr>
            <w:tcW w:w="863" w:type="dxa"/>
            <w:tcBorders>
              <w:top w:val="nil"/>
              <w:left w:val="nil"/>
              <w:bottom w:val="nil"/>
              <w:right w:val="nil"/>
            </w:tcBorders>
            <w:shd w:val="clear" w:color="auto" w:fill="auto"/>
            <w:vAlign w:val="center"/>
          </w:tcPr>
          <w:p w14:paraId="3BC09281"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-1,1</w:t>
            </w:r>
          </w:p>
        </w:tc>
        <w:tc>
          <w:tcPr>
            <w:tcW w:w="863" w:type="dxa"/>
            <w:tcBorders>
              <w:top w:val="nil"/>
              <w:left w:val="nil"/>
              <w:bottom w:val="nil"/>
              <w:right w:val="nil"/>
            </w:tcBorders>
            <w:shd w:val="clear" w:color="auto" w:fill="auto"/>
            <w:vAlign w:val="center"/>
          </w:tcPr>
          <w:p w14:paraId="65C12B37"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1,6</w:t>
            </w:r>
          </w:p>
        </w:tc>
      </w:tr>
      <w:tr w:rsidR="00283CC6" w:rsidRPr="009926BC" w14:paraId="516FF455" w14:textId="77777777" w:rsidTr="006D482B">
        <w:trPr>
          <w:trHeight w:val="300"/>
          <w:jc w:val="center"/>
        </w:trPr>
        <w:tc>
          <w:tcPr>
            <w:tcW w:w="1276" w:type="dxa"/>
            <w:vMerge/>
            <w:tcBorders>
              <w:top w:val="nil"/>
              <w:left w:val="nil"/>
              <w:bottom w:val="nil"/>
              <w:right w:val="nil"/>
            </w:tcBorders>
            <w:vAlign w:val="center"/>
            <w:hideMark/>
          </w:tcPr>
          <w:p w14:paraId="2A3081E2"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21F3929F"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nil"/>
              <w:right w:val="nil"/>
            </w:tcBorders>
            <w:shd w:val="clear" w:color="auto" w:fill="auto"/>
            <w:noWrap/>
            <w:vAlign w:val="center"/>
          </w:tcPr>
          <w:p w14:paraId="184C973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4D52987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74B0B60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3A43CA0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-1,4</w:t>
            </w:r>
          </w:p>
        </w:tc>
        <w:tc>
          <w:tcPr>
            <w:tcW w:w="862" w:type="dxa"/>
            <w:tcBorders>
              <w:top w:val="nil"/>
              <w:left w:val="nil"/>
              <w:bottom w:val="nil"/>
              <w:right w:val="nil"/>
            </w:tcBorders>
            <w:shd w:val="clear" w:color="auto" w:fill="auto"/>
            <w:noWrap/>
            <w:vAlign w:val="center"/>
          </w:tcPr>
          <w:p w14:paraId="55A9BA0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2,3</w:t>
            </w:r>
          </w:p>
        </w:tc>
        <w:tc>
          <w:tcPr>
            <w:tcW w:w="863" w:type="dxa"/>
            <w:tcBorders>
              <w:top w:val="nil"/>
              <w:left w:val="nil"/>
              <w:bottom w:val="nil"/>
              <w:right w:val="nil"/>
            </w:tcBorders>
            <w:shd w:val="clear" w:color="auto" w:fill="auto"/>
            <w:vAlign w:val="center"/>
          </w:tcPr>
          <w:p w14:paraId="6B521EFD"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-0,3</w:t>
            </w:r>
          </w:p>
        </w:tc>
        <w:tc>
          <w:tcPr>
            <w:tcW w:w="863" w:type="dxa"/>
            <w:tcBorders>
              <w:top w:val="nil"/>
              <w:left w:val="nil"/>
              <w:bottom w:val="nil"/>
              <w:right w:val="nil"/>
            </w:tcBorders>
            <w:shd w:val="clear" w:color="auto" w:fill="auto"/>
            <w:vAlign w:val="center"/>
          </w:tcPr>
          <w:p w14:paraId="487BD38F"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1,0</w:t>
            </w:r>
          </w:p>
        </w:tc>
      </w:tr>
      <w:tr w:rsidR="00283CC6" w:rsidRPr="009926BC" w14:paraId="094A0459" w14:textId="77777777" w:rsidTr="006D482B">
        <w:trPr>
          <w:trHeight w:val="80"/>
          <w:jc w:val="center"/>
        </w:trPr>
        <w:tc>
          <w:tcPr>
            <w:tcW w:w="1276" w:type="dxa"/>
            <w:tcBorders>
              <w:top w:val="nil"/>
              <w:left w:val="nil"/>
              <w:bottom w:val="nil"/>
              <w:right w:val="nil"/>
            </w:tcBorders>
            <w:shd w:val="clear" w:color="auto" w:fill="auto"/>
            <w:vAlign w:val="center"/>
            <w:hideMark/>
          </w:tcPr>
          <w:p w14:paraId="4EFD437C"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6512C762"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862" w:type="dxa"/>
            <w:tcBorders>
              <w:top w:val="nil"/>
              <w:left w:val="nil"/>
              <w:bottom w:val="nil"/>
              <w:right w:val="nil"/>
            </w:tcBorders>
            <w:shd w:val="clear" w:color="auto" w:fill="auto"/>
            <w:noWrap/>
            <w:vAlign w:val="center"/>
          </w:tcPr>
          <w:p w14:paraId="1C77E48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3E87C8EB"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7A33B516"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2CB7056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0457165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1C01AE6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078B626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r>
      <w:tr w:rsidR="00283CC6" w:rsidRPr="009926BC" w14:paraId="67AA277B" w14:textId="77777777" w:rsidTr="006D482B">
        <w:trPr>
          <w:trHeight w:val="300"/>
          <w:jc w:val="center"/>
        </w:trPr>
        <w:tc>
          <w:tcPr>
            <w:tcW w:w="1276" w:type="dxa"/>
            <w:vMerge w:val="restart"/>
            <w:tcBorders>
              <w:top w:val="nil"/>
              <w:left w:val="nil"/>
              <w:bottom w:val="nil"/>
              <w:right w:val="nil"/>
            </w:tcBorders>
            <w:shd w:val="clear" w:color="auto" w:fill="auto"/>
            <w:vAlign w:val="center"/>
            <w:hideMark/>
          </w:tcPr>
          <w:p w14:paraId="77958D64"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Εξαγωγές αγαθών και υπηρεσιών</w:t>
            </w:r>
          </w:p>
        </w:tc>
        <w:tc>
          <w:tcPr>
            <w:tcW w:w="992" w:type="dxa"/>
            <w:tcBorders>
              <w:top w:val="nil"/>
              <w:left w:val="nil"/>
              <w:bottom w:val="nil"/>
              <w:right w:val="nil"/>
            </w:tcBorders>
            <w:shd w:val="clear" w:color="auto" w:fill="auto"/>
            <w:noWrap/>
            <w:vAlign w:val="center"/>
            <w:hideMark/>
          </w:tcPr>
          <w:p w14:paraId="3F5E24F9"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bottom w:val="nil"/>
              <w:right w:val="nil"/>
            </w:tcBorders>
            <w:shd w:val="clear" w:color="auto" w:fill="auto"/>
            <w:noWrap/>
            <w:vAlign w:val="center"/>
          </w:tcPr>
          <w:p w14:paraId="19BD30D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9,1</w:t>
            </w:r>
          </w:p>
        </w:tc>
        <w:tc>
          <w:tcPr>
            <w:tcW w:w="863" w:type="dxa"/>
            <w:tcBorders>
              <w:top w:val="nil"/>
              <w:left w:val="nil"/>
              <w:bottom w:val="nil"/>
              <w:right w:val="nil"/>
            </w:tcBorders>
            <w:shd w:val="clear" w:color="auto" w:fill="auto"/>
            <w:noWrap/>
            <w:vAlign w:val="center"/>
          </w:tcPr>
          <w:p w14:paraId="0A06529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4,8</w:t>
            </w:r>
          </w:p>
        </w:tc>
        <w:tc>
          <w:tcPr>
            <w:tcW w:w="862" w:type="dxa"/>
            <w:tcBorders>
              <w:top w:val="nil"/>
              <w:left w:val="nil"/>
              <w:bottom w:val="nil"/>
              <w:right w:val="nil"/>
            </w:tcBorders>
            <w:shd w:val="clear" w:color="auto" w:fill="auto"/>
            <w:noWrap/>
            <w:vAlign w:val="center"/>
          </w:tcPr>
          <w:p w14:paraId="2F9A1E3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-21,7</w:t>
            </w:r>
          </w:p>
        </w:tc>
        <w:tc>
          <w:tcPr>
            <w:tcW w:w="863" w:type="dxa"/>
            <w:tcBorders>
              <w:top w:val="nil"/>
              <w:left w:val="nil"/>
              <w:bottom w:val="nil"/>
              <w:right w:val="nil"/>
            </w:tcBorders>
            <w:shd w:val="clear" w:color="auto" w:fill="auto"/>
            <w:noWrap/>
            <w:vAlign w:val="center"/>
          </w:tcPr>
          <w:p w14:paraId="46866E96" w14:textId="77777777" w:rsidR="00283CC6" w:rsidRPr="009926BC" w:rsidRDefault="00283CC6" w:rsidP="009926BC">
            <w:pPr>
              <w:spacing w:after="0" w:line="240" w:lineRule="auto"/>
              <w:jc w:val="center"/>
              <w:rPr>
                <w:rFonts w:ascii="Calibri" w:eastAsia="Times New Roman" w:hAnsi="Calibri" w:cs="Calibri"/>
                <w:color w:val="595959"/>
                <w:sz w:val="18"/>
                <w:szCs w:val="18"/>
                <w:lang w:val="en-US" w:eastAsia="el-GR"/>
              </w:rPr>
            </w:pPr>
            <w:r w:rsidRPr="009926BC">
              <w:rPr>
                <w:rFonts w:ascii="Calibri" w:hAnsi="Calibri" w:cs="Calibri"/>
                <w:color w:val="595959"/>
                <w:sz w:val="18"/>
                <w:szCs w:val="18"/>
              </w:rPr>
              <w:t>1,2</w:t>
            </w:r>
          </w:p>
        </w:tc>
        <w:tc>
          <w:tcPr>
            <w:tcW w:w="862" w:type="dxa"/>
            <w:tcBorders>
              <w:top w:val="nil"/>
              <w:left w:val="nil"/>
              <w:bottom w:val="nil"/>
              <w:right w:val="nil"/>
            </w:tcBorders>
            <w:shd w:val="clear" w:color="auto" w:fill="auto"/>
            <w:noWrap/>
            <w:vAlign w:val="center"/>
          </w:tcPr>
          <w:p w14:paraId="2E4D505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-30,1</w:t>
            </w:r>
          </w:p>
        </w:tc>
        <w:tc>
          <w:tcPr>
            <w:tcW w:w="863" w:type="dxa"/>
            <w:tcBorders>
              <w:top w:val="nil"/>
              <w:left w:val="nil"/>
              <w:bottom w:val="nil"/>
              <w:right w:val="nil"/>
            </w:tcBorders>
            <w:shd w:val="clear" w:color="auto" w:fill="auto"/>
            <w:vAlign w:val="center"/>
          </w:tcPr>
          <w:p w14:paraId="670F6634"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-41,9</w:t>
            </w:r>
          </w:p>
        </w:tc>
        <w:tc>
          <w:tcPr>
            <w:tcW w:w="863" w:type="dxa"/>
            <w:tcBorders>
              <w:top w:val="nil"/>
              <w:left w:val="nil"/>
              <w:bottom w:val="nil"/>
              <w:right w:val="nil"/>
            </w:tcBorders>
            <w:shd w:val="clear" w:color="auto" w:fill="auto"/>
            <w:vAlign w:val="center"/>
          </w:tcPr>
          <w:p w14:paraId="54D0C1DD"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-13,4</w:t>
            </w:r>
          </w:p>
        </w:tc>
      </w:tr>
      <w:tr w:rsidR="00283CC6" w:rsidRPr="009926BC" w14:paraId="01087FE7" w14:textId="77777777" w:rsidTr="006D482B">
        <w:trPr>
          <w:trHeight w:val="300"/>
          <w:jc w:val="center"/>
        </w:trPr>
        <w:tc>
          <w:tcPr>
            <w:tcW w:w="1276" w:type="dxa"/>
            <w:vMerge/>
            <w:tcBorders>
              <w:top w:val="nil"/>
              <w:left w:val="nil"/>
              <w:bottom w:val="nil"/>
              <w:right w:val="nil"/>
            </w:tcBorders>
            <w:vAlign w:val="center"/>
            <w:hideMark/>
          </w:tcPr>
          <w:p w14:paraId="05B97E9E"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383B1A36"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nil"/>
              <w:right w:val="nil"/>
            </w:tcBorders>
            <w:shd w:val="clear" w:color="auto" w:fill="auto"/>
            <w:noWrap/>
            <w:vAlign w:val="center"/>
          </w:tcPr>
          <w:p w14:paraId="4E6966E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3C9D8B3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02F30BB6" w14:textId="77777777" w:rsidR="00283CC6" w:rsidRPr="009926BC" w:rsidRDefault="00283CC6" w:rsidP="009926BC">
            <w:pPr>
              <w:spacing w:after="0" w:line="240" w:lineRule="auto"/>
              <w:jc w:val="center"/>
              <w:rPr>
                <w:rFonts w:ascii="Calibri" w:eastAsia="Times New Roman" w:hAnsi="Calibri" w:cs="Calibri"/>
                <w:color w:val="595959"/>
                <w:sz w:val="18"/>
                <w:szCs w:val="18"/>
                <w:lang w:val="en-US" w:eastAsia="el-GR"/>
              </w:rPr>
            </w:pPr>
          </w:p>
        </w:tc>
        <w:tc>
          <w:tcPr>
            <w:tcW w:w="863" w:type="dxa"/>
            <w:tcBorders>
              <w:top w:val="nil"/>
              <w:left w:val="nil"/>
              <w:bottom w:val="nil"/>
              <w:right w:val="nil"/>
            </w:tcBorders>
            <w:shd w:val="clear" w:color="auto" w:fill="auto"/>
            <w:noWrap/>
            <w:vAlign w:val="center"/>
          </w:tcPr>
          <w:p w14:paraId="4114FE36"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4,1</w:t>
            </w:r>
          </w:p>
        </w:tc>
        <w:tc>
          <w:tcPr>
            <w:tcW w:w="862" w:type="dxa"/>
            <w:tcBorders>
              <w:top w:val="nil"/>
              <w:left w:val="nil"/>
              <w:bottom w:val="nil"/>
              <w:right w:val="nil"/>
            </w:tcBorders>
            <w:shd w:val="clear" w:color="auto" w:fill="auto"/>
            <w:noWrap/>
            <w:vAlign w:val="center"/>
          </w:tcPr>
          <w:p w14:paraId="5D69473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-30,1</w:t>
            </w:r>
          </w:p>
        </w:tc>
        <w:tc>
          <w:tcPr>
            <w:tcW w:w="863" w:type="dxa"/>
            <w:tcBorders>
              <w:top w:val="nil"/>
              <w:left w:val="nil"/>
              <w:bottom w:val="nil"/>
              <w:right w:val="nil"/>
            </w:tcBorders>
            <w:shd w:val="clear" w:color="auto" w:fill="auto"/>
            <w:vAlign w:val="center"/>
          </w:tcPr>
          <w:p w14:paraId="2ADD1106"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-9,6</w:t>
            </w:r>
          </w:p>
        </w:tc>
        <w:tc>
          <w:tcPr>
            <w:tcW w:w="863" w:type="dxa"/>
            <w:tcBorders>
              <w:top w:val="nil"/>
              <w:left w:val="nil"/>
              <w:bottom w:val="nil"/>
              <w:right w:val="nil"/>
            </w:tcBorders>
            <w:shd w:val="clear" w:color="auto" w:fill="auto"/>
            <w:vAlign w:val="center"/>
          </w:tcPr>
          <w:p w14:paraId="7DE2CE12"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31,8</w:t>
            </w:r>
          </w:p>
        </w:tc>
      </w:tr>
      <w:tr w:rsidR="00283CC6" w:rsidRPr="009926BC" w14:paraId="544ED9C0" w14:textId="77777777" w:rsidTr="006D482B">
        <w:trPr>
          <w:trHeight w:val="123"/>
          <w:jc w:val="center"/>
        </w:trPr>
        <w:tc>
          <w:tcPr>
            <w:tcW w:w="1276" w:type="dxa"/>
            <w:tcBorders>
              <w:top w:val="nil"/>
              <w:left w:val="nil"/>
              <w:bottom w:val="nil"/>
              <w:right w:val="nil"/>
            </w:tcBorders>
            <w:shd w:val="clear" w:color="auto" w:fill="auto"/>
            <w:vAlign w:val="center"/>
            <w:hideMark/>
          </w:tcPr>
          <w:p w14:paraId="3E1F8208"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59CC40D3"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862" w:type="dxa"/>
            <w:tcBorders>
              <w:top w:val="nil"/>
              <w:left w:val="nil"/>
              <w:bottom w:val="nil"/>
              <w:right w:val="nil"/>
            </w:tcBorders>
            <w:shd w:val="clear" w:color="auto" w:fill="auto"/>
            <w:noWrap/>
            <w:vAlign w:val="center"/>
          </w:tcPr>
          <w:p w14:paraId="0BDFD4BE"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24F13AB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55655E9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2CEA628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36D1C9A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2932D16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vAlign w:val="center"/>
          </w:tcPr>
          <w:p w14:paraId="1D9766C8"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r>
      <w:tr w:rsidR="00283CC6" w:rsidRPr="009926BC" w14:paraId="2D233887" w14:textId="77777777" w:rsidTr="006D482B">
        <w:trPr>
          <w:trHeight w:val="300"/>
          <w:jc w:val="center"/>
        </w:trPr>
        <w:tc>
          <w:tcPr>
            <w:tcW w:w="1276" w:type="dxa"/>
            <w:vMerge w:val="restart"/>
            <w:tcBorders>
              <w:top w:val="nil"/>
              <w:left w:val="nil"/>
              <w:bottom w:val="nil"/>
              <w:right w:val="nil"/>
            </w:tcBorders>
            <w:shd w:val="clear" w:color="auto" w:fill="auto"/>
            <w:vAlign w:val="center"/>
            <w:hideMark/>
          </w:tcPr>
          <w:p w14:paraId="70048572"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Εισαγωγές αγαθών και υπηρεσιών</w:t>
            </w:r>
          </w:p>
        </w:tc>
        <w:tc>
          <w:tcPr>
            <w:tcW w:w="992" w:type="dxa"/>
            <w:tcBorders>
              <w:top w:val="nil"/>
              <w:left w:val="nil"/>
              <w:bottom w:val="nil"/>
              <w:right w:val="nil"/>
            </w:tcBorders>
            <w:shd w:val="clear" w:color="auto" w:fill="auto"/>
            <w:noWrap/>
            <w:vAlign w:val="center"/>
            <w:hideMark/>
          </w:tcPr>
          <w:p w14:paraId="7880596D"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bottom w:val="nil"/>
              <w:right w:val="nil"/>
            </w:tcBorders>
            <w:shd w:val="clear" w:color="auto" w:fill="auto"/>
            <w:noWrap/>
            <w:vAlign w:val="center"/>
          </w:tcPr>
          <w:p w14:paraId="6EF3A3E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8,0</w:t>
            </w:r>
          </w:p>
        </w:tc>
        <w:tc>
          <w:tcPr>
            <w:tcW w:w="863" w:type="dxa"/>
            <w:tcBorders>
              <w:top w:val="nil"/>
              <w:left w:val="nil"/>
              <w:bottom w:val="nil"/>
              <w:right w:val="nil"/>
            </w:tcBorders>
            <w:shd w:val="clear" w:color="auto" w:fill="auto"/>
            <w:noWrap/>
            <w:vAlign w:val="center"/>
          </w:tcPr>
          <w:p w14:paraId="13E3D81F"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3,0</w:t>
            </w:r>
          </w:p>
        </w:tc>
        <w:tc>
          <w:tcPr>
            <w:tcW w:w="862" w:type="dxa"/>
            <w:tcBorders>
              <w:top w:val="nil"/>
              <w:left w:val="nil"/>
              <w:bottom w:val="nil"/>
              <w:right w:val="nil"/>
            </w:tcBorders>
            <w:shd w:val="clear" w:color="auto" w:fill="auto"/>
            <w:noWrap/>
            <w:vAlign w:val="center"/>
          </w:tcPr>
          <w:p w14:paraId="26E6D2D6" w14:textId="77777777" w:rsidR="00283CC6" w:rsidRPr="009926BC" w:rsidRDefault="00283CC6" w:rsidP="009926BC">
            <w:pPr>
              <w:spacing w:after="0" w:line="240" w:lineRule="auto"/>
              <w:jc w:val="center"/>
              <w:rPr>
                <w:rFonts w:ascii="Calibri" w:eastAsia="Times New Roman" w:hAnsi="Calibri" w:cs="Calibri"/>
                <w:color w:val="595959"/>
                <w:sz w:val="18"/>
                <w:szCs w:val="18"/>
                <w:lang w:val="en-US" w:eastAsia="el-GR"/>
              </w:rPr>
            </w:pPr>
            <w:r w:rsidRPr="009926BC">
              <w:rPr>
                <w:rFonts w:ascii="Calibri" w:hAnsi="Calibri" w:cs="Calibri"/>
                <w:color w:val="595959"/>
                <w:sz w:val="18"/>
                <w:szCs w:val="18"/>
              </w:rPr>
              <w:t>-6,8</w:t>
            </w:r>
          </w:p>
        </w:tc>
        <w:tc>
          <w:tcPr>
            <w:tcW w:w="863" w:type="dxa"/>
            <w:tcBorders>
              <w:top w:val="nil"/>
              <w:left w:val="nil"/>
              <w:bottom w:val="nil"/>
              <w:right w:val="nil"/>
            </w:tcBorders>
            <w:shd w:val="clear" w:color="auto" w:fill="auto"/>
            <w:noWrap/>
            <w:vAlign w:val="center"/>
          </w:tcPr>
          <w:p w14:paraId="003330B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0,7</w:t>
            </w:r>
          </w:p>
        </w:tc>
        <w:tc>
          <w:tcPr>
            <w:tcW w:w="862" w:type="dxa"/>
            <w:tcBorders>
              <w:top w:val="nil"/>
              <w:left w:val="nil"/>
              <w:bottom w:val="nil"/>
              <w:right w:val="nil"/>
            </w:tcBorders>
            <w:shd w:val="clear" w:color="auto" w:fill="auto"/>
            <w:noWrap/>
            <w:vAlign w:val="center"/>
          </w:tcPr>
          <w:p w14:paraId="46E08F35"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-13,0</w:t>
            </w:r>
          </w:p>
        </w:tc>
        <w:tc>
          <w:tcPr>
            <w:tcW w:w="863" w:type="dxa"/>
            <w:tcBorders>
              <w:top w:val="nil"/>
              <w:left w:val="nil"/>
              <w:bottom w:val="nil"/>
              <w:right w:val="nil"/>
            </w:tcBorders>
            <w:shd w:val="clear" w:color="auto" w:fill="auto"/>
            <w:vAlign w:val="center"/>
          </w:tcPr>
          <w:p w14:paraId="2FE2BCF9"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-5,8</w:t>
            </w:r>
          </w:p>
        </w:tc>
        <w:tc>
          <w:tcPr>
            <w:tcW w:w="863" w:type="dxa"/>
            <w:tcBorders>
              <w:top w:val="nil"/>
              <w:left w:val="nil"/>
              <w:bottom w:val="nil"/>
              <w:right w:val="nil"/>
            </w:tcBorders>
            <w:shd w:val="clear" w:color="auto" w:fill="auto"/>
            <w:vAlign w:val="center"/>
          </w:tcPr>
          <w:p w14:paraId="287860B8"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-9,5</w:t>
            </w:r>
          </w:p>
        </w:tc>
      </w:tr>
      <w:tr w:rsidR="00283CC6" w:rsidRPr="009926BC" w14:paraId="51E114B4" w14:textId="77777777" w:rsidTr="006D482B">
        <w:trPr>
          <w:trHeight w:val="300"/>
          <w:jc w:val="center"/>
        </w:trPr>
        <w:tc>
          <w:tcPr>
            <w:tcW w:w="1276" w:type="dxa"/>
            <w:vMerge/>
            <w:tcBorders>
              <w:top w:val="nil"/>
              <w:left w:val="nil"/>
              <w:bottom w:val="nil"/>
              <w:right w:val="nil"/>
            </w:tcBorders>
            <w:vAlign w:val="center"/>
            <w:hideMark/>
          </w:tcPr>
          <w:p w14:paraId="3B3C6A09"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nil"/>
              <w:right w:val="nil"/>
            </w:tcBorders>
            <w:shd w:val="clear" w:color="auto" w:fill="auto"/>
            <w:noWrap/>
            <w:vAlign w:val="center"/>
            <w:hideMark/>
          </w:tcPr>
          <w:p w14:paraId="17BCB0B1"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nil"/>
              <w:right w:val="nil"/>
            </w:tcBorders>
            <w:shd w:val="clear" w:color="auto" w:fill="auto"/>
            <w:noWrap/>
            <w:vAlign w:val="center"/>
          </w:tcPr>
          <w:p w14:paraId="3CD32C79"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0C5E045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bottom w:val="nil"/>
              <w:right w:val="nil"/>
            </w:tcBorders>
            <w:shd w:val="clear" w:color="auto" w:fill="auto"/>
            <w:noWrap/>
            <w:vAlign w:val="center"/>
          </w:tcPr>
          <w:p w14:paraId="0DD8293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bottom w:val="nil"/>
              <w:right w:val="nil"/>
            </w:tcBorders>
            <w:shd w:val="clear" w:color="auto" w:fill="auto"/>
            <w:noWrap/>
            <w:vAlign w:val="center"/>
          </w:tcPr>
          <w:p w14:paraId="38B0CBC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-0,8</w:t>
            </w:r>
          </w:p>
        </w:tc>
        <w:tc>
          <w:tcPr>
            <w:tcW w:w="862" w:type="dxa"/>
            <w:tcBorders>
              <w:top w:val="nil"/>
              <w:left w:val="nil"/>
              <w:bottom w:val="nil"/>
              <w:right w:val="nil"/>
            </w:tcBorders>
            <w:shd w:val="clear" w:color="auto" w:fill="auto"/>
            <w:noWrap/>
            <w:vAlign w:val="center"/>
          </w:tcPr>
          <w:p w14:paraId="7186C47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-13,8</w:t>
            </w:r>
          </w:p>
        </w:tc>
        <w:tc>
          <w:tcPr>
            <w:tcW w:w="863" w:type="dxa"/>
            <w:tcBorders>
              <w:top w:val="nil"/>
              <w:left w:val="nil"/>
              <w:bottom w:val="nil"/>
              <w:right w:val="nil"/>
            </w:tcBorders>
            <w:shd w:val="clear" w:color="auto" w:fill="auto"/>
            <w:vAlign w:val="center"/>
          </w:tcPr>
          <w:p w14:paraId="5A2B2EDE"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9,7</w:t>
            </w:r>
          </w:p>
        </w:tc>
        <w:tc>
          <w:tcPr>
            <w:tcW w:w="863" w:type="dxa"/>
            <w:tcBorders>
              <w:top w:val="nil"/>
              <w:left w:val="nil"/>
              <w:bottom w:val="nil"/>
              <w:right w:val="nil"/>
            </w:tcBorders>
            <w:shd w:val="clear" w:color="auto" w:fill="auto"/>
            <w:vAlign w:val="center"/>
          </w:tcPr>
          <w:p w14:paraId="45B1D264"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-3,6</w:t>
            </w:r>
          </w:p>
        </w:tc>
      </w:tr>
      <w:tr w:rsidR="00283CC6" w:rsidRPr="009926BC" w14:paraId="50FC3896" w14:textId="77777777" w:rsidTr="00DF4284">
        <w:trPr>
          <w:trHeight w:val="107"/>
          <w:jc w:val="center"/>
        </w:trPr>
        <w:tc>
          <w:tcPr>
            <w:tcW w:w="1276" w:type="dxa"/>
            <w:tcBorders>
              <w:top w:val="nil"/>
              <w:left w:val="nil"/>
              <w:right w:val="nil"/>
            </w:tcBorders>
            <w:shd w:val="clear" w:color="auto" w:fill="auto"/>
            <w:vAlign w:val="center"/>
            <w:hideMark/>
          </w:tcPr>
          <w:p w14:paraId="42E41714" w14:textId="77777777" w:rsidR="00283CC6" w:rsidRPr="009926BC" w:rsidRDefault="00283CC6" w:rsidP="009926BC">
            <w:pPr>
              <w:spacing w:after="0" w:line="240" w:lineRule="auto"/>
              <w:rPr>
                <w:rFonts w:ascii="Calibri Light" w:eastAsia="Times New Roman" w:hAnsi="Calibri Light" w:cs="Calibri Light"/>
                <w:color w:val="595959"/>
                <w:sz w:val="18"/>
                <w:szCs w:val="18"/>
                <w:lang w:val="en-US" w:eastAsia="el-GR"/>
              </w:rPr>
            </w:pPr>
          </w:p>
        </w:tc>
        <w:tc>
          <w:tcPr>
            <w:tcW w:w="992" w:type="dxa"/>
            <w:tcBorders>
              <w:top w:val="nil"/>
              <w:left w:val="nil"/>
              <w:right w:val="nil"/>
            </w:tcBorders>
            <w:shd w:val="clear" w:color="auto" w:fill="auto"/>
            <w:noWrap/>
            <w:vAlign w:val="center"/>
            <w:hideMark/>
          </w:tcPr>
          <w:p w14:paraId="4356445D"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862" w:type="dxa"/>
            <w:tcBorders>
              <w:top w:val="nil"/>
              <w:left w:val="nil"/>
              <w:right w:val="nil"/>
            </w:tcBorders>
            <w:shd w:val="clear" w:color="auto" w:fill="auto"/>
            <w:noWrap/>
            <w:vAlign w:val="center"/>
          </w:tcPr>
          <w:p w14:paraId="5F89856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right w:val="nil"/>
            </w:tcBorders>
            <w:shd w:val="clear" w:color="auto" w:fill="auto"/>
            <w:noWrap/>
            <w:vAlign w:val="center"/>
          </w:tcPr>
          <w:p w14:paraId="39D02759"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right w:val="nil"/>
            </w:tcBorders>
            <w:shd w:val="clear" w:color="auto" w:fill="auto"/>
            <w:noWrap/>
            <w:vAlign w:val="center"/>
          </w:tcPr>
          <w:p w14:paraId="01825422"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right w:val="nil"/>
            </w:tcBorders>
            <w:shd w:val="clear" w:color="auto" w:fill="auto"/>
            <w:noWrap/>
            <w:vAlign w:val="center"/>
          </w:tcPr>
          <w:p w14:paraId="7FE244CF"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2" w:type="dxa"/>
            <w:tcBorders>
              <w:top w:val="nil"/>
              <w:left w:val="nil"/>
              <w:right w:val="nil"/>
            </w:tcBorders>
            <w:shd w:val="clear" w:color="auto" w:fill="auto"/>
            <w:noWrap/>
            <w:vAlign w:val="center"/>
          </w:tcPr>
          <w:p w14:paraId="2676BCB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right w:val="nil"/>
            </w:tcBorders>
            <w:shd w:val="clear" w:color="auto" w:fill="auto"/>
            <w:vAlign w:val="center"/>
          </w:tcPr>
          <w:p w14:paraId="3431FC0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c>
          <w:tcPr>
            <w:tcW w:w="863" w:type="dxa"/>
            <w:tcBorders>
              <w:top w:val="nil"/>
              <w:left w:val="nil"/>
              <w:right w:val="nil"/>
            </w:tcBorders>
            <w:shd w:val="clear" w:color="auto" w:fill="auto"/>
            <w:vAlign w:val="center"/>
          </w:tcPr>
          <w:p w14:paraId="7C9DE8E3"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p>
        </w:tc>
      </w:tr>
      <w:tr w:rsidR="00283CC6" w:rsidRPr="009926BC" w14:paraId="03A706BA" w14:textId="77777777" w:rsidTr="00DF4284">
        <w:trPr>
          <w:trHeight w:val="300"/>
          <w:jc w:val="center"/>
        </w:trPr>
        <w:tc>
          <w:tcPr>
            <w:tcW w:w="1276" w:type="dxa"/>
            <w:vMerge w:val="restart"/>
            <w:tcBorders>
              <w:top w:val="nil"/>
              <w:left w:val="nil"/>
              <w:right w:val="nil"/>
            </w:tcBorders>
            <w:shd w:val="clear" w:color="auto" w:fill="auto"/>
            <w:vAlign w:val="center"/>
            <w:hideMark/>
          </w:tcPr>
          <w:p w14:paraId="7713B086"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Times New Roman" w:hAnsi="Calibri Light" w:cs="Calibri Light"/>
                <w:color w:val="595959"/>
                <w:sz w:val="18"/>
                <w:szCs w:val="18"/>
                <w:lang w:eastAsia="el-GR"/>
              </w:rPr>
              <w:t>ΑΕΠ</w:t>
            </w:r>
          </w:p>
        </w:tc>
        <w:tc>
          <w:tcPr>
            <w:tcW w:w="992" w:type="dxa"/>
            <w:tcBorders>
              <w:top w:val="nil"/>
              <w:left w:val="nil"/>
              <w:right w:val="nil"/>
            </w:tcBorders>
            <w:shd w:val="clear" w:color="auto" w:fill="auto"/>
            <w:noWrap/>
            <w:vAlign w:val="center"/>
            <w:hideMark/>
          </w:tcPr>
          <w:p w14:paraId="4968034F"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ετήσια</w:t>
            </w:r>
          </w:p>
        </w:tc>
        <w:tc>
          <w:tcPr>
            <w:tcW w:w="862" w:type="dxa"/>
            <w:tcBorders>
              <w:top w:val="nil"/>
              <w:left w:val="nil"/>
              <w:right w:val="nil"/>
            </w:tcBorders>
            <w:shd w:val="clear" w:color="auto" w:fill="auto"/>
            <w:noWrap/>
            <w:vAlign w:val="center"/>
          </w:tcPr>
          <w:p w14:paraId="3653C6A4"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1,6</w:t>
            </w:r>
          </w:p>
        </w:tc>
        <w:tc>
          <w:tcPr>
            <w:tcW w:w="863" w:type="dxa"/>
            <w:tcBorders>
              <w:top w:val="nil"/>
              <w:left w:val="nil"/>
              <w:right w:val="nil"/>
            </w:tcBorders>
            <w:shd w:val="clear" w:color="auto" w:fill="auto"/>
            <w:noWrap/>
            <w:vAlign w:val="center"/>
          </w:tcPr>
          <w:p w14:paraId="46F84C5B"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1,9</w:t>
            </w:r>
          </w:p>
        </w:tc>
        <w:tc>
          <w:tcPr>
            <w:tcW w:w="862" w:type="dxa"/>
            <w:tcBorders>
              <w:top w:val="nil"/>
              <w:left w:val="nil"/>
              <w:right w:val="nil"/>
            </w:tcBorders>
            <w:shd w:val="clear" w:color="auto" w:fill="auto"/>
            <w:noWrap/>
            <w:vAlign w:val="center"/>
          </w:tcPr>
          <w:p w14:paraId="3E96238A"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-8,2</w:t>
            </w:r>
          </w:p>
        </w:tc>
        <w:tc>
          <w:tcPr>
            <w:tcW w:w="863" w:type="dxa"/>
            <w:tcBorders>
              <w:top w:val="nil"/>
              <w:left w:val="nil"/>
              <w:right w:val="nil"/>
            </w:tcBorders>
            <w:shd w:val="clear" w:color="auto" w:fill="auto"/>
            <w:noWrap/>
            <w:vAlign w:val="center"/>
          </w:tcPr>
          <w:p w14:paraId="20DE2EDD"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0,1</w:t>
            </w:r>
          </w:p>
        </w:tc>
        <w:tc>
          <w:tcPr>
            <w:tcW w:w="862" w:type="dxa"/>
            <w:tcBorders>
              <w:top w:val="nil"/>
              <w:left w:val="nil"/>
              <w:right w:val="nil"/>
            </w:tcBorders>
            <w:shd w:val="clear" w:color="auto" w:fill="auto"/>
            <w:noWrap/>
            <w:vAlign w:val="center"/>
          </w:tcPr>
          <w:p w14:paraId="06B8A3F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-13,8</w:t>
            </w:r>
          </w:p>
        </w:tc>
        <w:tc>
          <w:tcPr>
            <w:tcW w:w="863" w:type="dxa"/>
            <w:tcBorders>
              <w:top w:val="nil"/>
              <w:left w:val="nil"/>
              <w:right w:val="nil"/>
            </w:tcBorders>
            <w:shd w:val="clear" w:color="auto" w:fill="auto"/>
            <w:vAlign w:val="center"/>
          </w:tcPr>
          <w:p w14:paraId="7475E4E2"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-10,5</w:t>
            </w:r>
          </w:p>
        </w:tc>
        <w:tc>
          <w:tcPr>
            <w:tcW w:w="863" w:type="dxa"/>
            <w:tcBorders>
              <w:top w:val="nil"/>
              <w:left w:val="nil"/>
              <w:right w:val="nil"/>
            </w:tcBorders>
            <w:shd w:val="clear" w:color="auto" w:fill="auto"/>
            <w:vAlign w:val="center"/>
          </w:tcPr>
          <w:p w14:paraId="69DAA2DE"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-7,9</w:t>
            </w:r>
          </w:p>
        </w:tc>
      </w:tr>
      <w:tr w:rsidR="00283CC6" w:rsidRPr="009926BC" w14:paraId="1FB82F2F" w14:textId="77777777" w:rsidTr="00DF4284">
        <w:trPr>
          <w:trHeight w:val="300"/>
          <w:jc w:val="center"/>
        </w:trPr>
        <w:tc>
          <w:tcPr>
            <w:tcW w:w="1276" w:type="dxa"/>
            <w:vMerge/>
            <w:tcBorders>
              <w:top w:val="nil"/>
              <w:left w:val="nil"/>
              <w:bottom w:val="single" w:sz="4" w:space="0" w:color="auto"/>
              <w:right w:val="nil"/>
            </w:tcBorders>
            <w:vAlign w:val="center"/>
            <w:hideMark/>
          </w:tcPr>
          <w:p w14:paraId="39B9CC83"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p>
        </w:tc>
        <w:tc>
          <w:tcPr>
            <w:tcW w:w="992" w:type="dxa"/>
            <w:tcBorders>
              <w:top w:val="nil"/>
              <w:left w:val="nil"/>
              <w:bottom w:val="single" w:sz="4" w:space="0" w:color="auto"/>
              <w:right w:val="nil"/>
            </w:tcBorders>
            <w:shd w:val="clear" w:color="auto" w:fill="auto"/>
            <w:noWrap/>
            <w:vAlign w:val="center"/>
            <w:hideMark/>
          </w:tcPr>
          <w:p w14:paraId="27E7873F" w14:textId="77777777" w:rsidR="00283CC6" w:rsidRPr="009926BC" w:rsidRDefault="00283CC6" w:rsidP="009926BC">
            <w:pPr>
              <w:spacing w:after="0" w:line="240" w:lineRule="auto"/>
              <w:rPr>
                <w:rFonts w:ascii="Calibri Light" w:eastAsia="Times New Roman" w:hAnsi="Calibri Light" w:cs="Calibri Light"/>
                <w:color w:val="595959"/>
                <w:sz w:val="18"/>
                <w:szCs w:val="18"/>
                <w:lang w:eastAsia="el-GR"/>
              </w:rPr>
            </w:pPr>
            <w:r w:rsidRPr="009926BC">
              <w:rPr>
                <w:rFonts w:ascii="Calibri Light" w:eastAsia="Calibri" w:hAnsi="Calibri Light" w:cs="Calibri Light"/>
                <w:color w:val="595959"/>
                <w:sz w:val="18"/>
                <w:szCs w:val="18"/>
              </w:rPr>
              <w:t>τριμηνιαία</w:t>
            </w:r>
          </w:p>
        </w:tc>
        <w:tc>
          <w:tcPr>
            <w:tcW w:w="862" w:type="dxa"/>
            <w:tcBorders>
              <w:top w:val="nil"/>
              <w:left w:val="nil"/>
              <w:bottom w:val="single" w:sz="4" w:space="0" w:color="auto"/>
              <w:right w:val="nil"/>
            </w:tcBorders>
            <w:shd w:val="clear" w:color="auto" w:fill="auto"/>
            <w:noWrap/>
            <w:vAlign w:val="center"/>
          </w:tcPr>
          <w:p w14:paraId="783C4490"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 </w:t>
            </w:r>
          </w:p>
        </w:tc>
        <w:tc>
          <w:tcPr>
            <w:tcW w:w="863" w:type="dxa"/>
            <w:tcBorders>
              <w:top w:val="nil"/>
              <w:left w:val="nil"/>
              <w:bottom w:val="single" w:sz="4" w:space="0" w:color="auto"/>
              <w:right w:val="nil"/>
            </w:tcBorders>
            <w:shd w:val="clear" w:color="auto" w:fill="auto"/>
            <w:noWrap/>
            <w:vAlign w:val="center"/>
          </w:tcPr>
          <w:p w14:paraId="3B1F4FD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 </w:t>
            </w:r>
          </w:p>
        </w:tc>
        <w:tc>
          <w:tcPr>
            <w:tcW w:w="862" w:type="dxa"/>
            <w:tcBorders>
              <w:top w:val="nil"/>
              <w:left w:val="nil"/>
              <w:bottom w:val="single" w:sz="4" w:space="0" w:color="auto"/>
              <w:right w:val="nil"/>
            </w:tcBorders>
            <w:shd w:val="clear" w:color="auto" w:fill="auto"/>
            <w:noWrap/>
            <w:vAlign w:val="center"/>
          </w:tcPr>
          <w:p w14:paraId="3B477507"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 </w:t>
            </w:r>
          </w:p>
        </w:tc>
        <w:tc>
          <w:tcPr>
            <w:tcW w:w="863" w:type="dxa"/>
            <w:tcBorders>
              <w:top w:val="nil"/>
              <w:left w:val="nil"/>
              <w:bottom w:val="single" w:sz="4" w:space="0" w:color="auto"/>
              <w:right w:val="nil"/>
            </w:tcBorders>
            <w:shd w:val="clear" w:color="auto" w:fill="auto"/>
            <w:noWrap/>
            <w:vAlign w:val="center"/>
          </w:tcPr>
          <w:p w14:paraId="3F6159AC"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0,4</w:t>
            </w:r>
          </w:p>
        </w:tc>
        <w:tc>
          <w:tcPr>
            <w:tcW w:w="862" w:type="dxa"/>
            <w:tcBorders>
              <w:top w:val="nil"/>
              <w:left w:val="nil"/>
              <w:bottom w:val="single" w:sz="4" w:space="0" w:color="auto"/>
              <w:right w:val="nil"/>
            </w:tcBorders>
            <w:shd w:val="clear" w:color="auto" w:fill="auto"/>
            <w:noWrap/>
            <w:vAlign w:val="center"/>
          </w:tcPr>
          <w:p w14:paraId="14B9E3F1" w14:textId="77777777" w:rsidR="00283CC6" w:rsidRPr="009926BC" w:rsidRDefault="00283CC6" w:rsidP="009926BC">
            <w:pPr>
              <w:spacing w:after="0" w:line="240" w:lineRule="auto"/>
              <w:jc w:val="center"/>
              <w:rPr>
                <w:rFonts w:ascii="Calibri" w:eastAsia="Times New Roman" w:hAnsi="Calibri" w:cs="Calibri"/>
                <w:color w:val="595959"/>
                <w:sz w:val="18"/>
                <w:szCs w:val="18"/>
                <w:lang w:eastAsia="el-GR"/>
              </w:rPr>
            </w:pPr>
            <w:r w:rsidRPr="009926BC">
              <w:rPr>
                <w:rFonts w:ascii="Calibri" w:hAnsi="Calibri" w:cs="Calibri"/>
                <w:color w:val="595959"/>
                <w:sz w:val="18"/>
                <w:szCs w:val="18"/>
              </w:rPr>
              <w:t>-13,4</w:t>
            </w:r>
          </w:p>
        </w:tc>
        <w:tc>
          <w:tcPr>
            <w:tcW w:w="863" w:type="dxa"/>
            <w:tcBorders>
              <w:top w:val="nil"/>
              <w:left w:val="nil"/>
              <w:bottom w:val="single" w:sz="4" w:space="0" w:color="auto"/>
              <w:right w:val="nil"/>
            </w:tcBorders>
            <w:shd w:val="clear" w:color="auto" w:fill="auto"/>
            <w:vAlign w:val="center"/>
          </w:tcPr>
          <w:p w14:paraId="3A6A60D4"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3,1</w:t>
            </w:r>
          </w:p>
        </w:tc>
        <w:tc>
          <w:tcPr>
            <w:tcW w:w="863" w:type="dxa"/>
            <w:tcBorders>
              <w:top w:val="nil"/>
              <w:left w:val="nil"/>
              <w:bottom w:val="single" w:sz="4" w:space="0" w:color="auto"/>
              <w:right w:val="nil"/>
            </w:tcBorders>
            <w:shd w:val="clear" w:color="auto" w:fill="auto"/>
            <w:vAlign w:val="center"/>
          </w:tcPr>
          <w:p w14:paraId="1E117B69" w14:textId="77777777" w:rsidR="00283CC6" w:rsidRPr="009926BC" w:rsidRDefault="00283CC6" w:rsidP="009926BC">
            <w:pPr>
              <w:spacing w:after="0" w:line="240" w:lineRule="auto"/>
              <w:jc w:val="center"/>
              <w:rPr>
                <w:rFonts w:ascii="Calibri" w:eastAsia="Calibri" w:hAnsi="Calibri" w:cs="Calibri"/>
                <w:color w:val="595959"/>
                <w:sz w:val="18"/>
                <w:szCs w:val="18"/>
              </w:rPr>
            </w:pPr>
            <w:r w:rsidRPr="009926BC">
              <w:rPr>
                <w:rFonts w:ascii="Calibri" w:hAnsi="Calibri" w:cs="Calibri"/>
                <w:color w:val="595959"/>
                <w:sz w:val="18"/>
                <w:szCs w:val="18"/>
              </w:rPr>
              <w:t>2,7</w:t>
            </w:r>
          </w:p>
        </w:tc>
      </w:tr>
    </w:tbl>
    <w:p w14:paraId="77F6CED9" w14:textId="77777777" w:rsidR="00283CC6" w:rsidRPr="00575A7E" w:rsidRDefault="00283CC6" w:rsidP="003B1BE9">
      <w:pPr>
        <w:spacing w:after="0" w:line="276" w:lineRule="auto"/>
        <w:jc w:val="both"/>
        <w:rPr>
          <w:rFonts w:ascii="Calibri Light" w:eastAsia="Calibri" w:hAnsi="Calibri Light" w:cs="Calibri Light"/>
          <w:color w:val="595959"/>
          <w:sz w:val="18"/>
          <w:szCs w:val="18"/>
          <w:u w:val="single"/>
        </w:rPr>
      </w:pPr>
      <w:r w:rsidRPr="00575A7E">
        <w:rPr>
          <w:rFonts w:ascii="Calibri Light" w:eastAsia="Calibri" w:hAnsi="Calibri Light" w:cs="Calibri Light"/>
          <w:color w:val="595959"/>
          <w:sz w:val="18"/>
          <w:szCs w:val="18"/>
        </w:rPr>
        <w:t xml:space="preserve">Πηγή: ΕΛΣΤΑΤ, </w:t>
      </w:r>
      <w:hyperlink r:id="rId29" w:history="1">
        <w:r w:rsidRPr="00575A7E">
          <w:rPr>
            <w:rFonts w:ascii="Calibri Light" w:eastAsia="Calibri" w:hAnsi="Calibri Light" w:cs="Calibri Light"/>
            <w:color w:val="595959"/>
            <w:sz w:val="18"/>
            <w:szCs w:val="18"/>
            <w:u w:val="single"/>
          </w:rPr>
          <w:t>Ετήσιοι</w:t>
        </w:r>
      </w:hyperlink>
      <w:r w:rsidRPr="00575A7E">
        <w:rPr>
          <w:rFonts w:ascii="Calibri Light" w:eastAsia="Calibri" w:hAnsi="Calibri Light" w:cs="Calibri Light"/>
          <w:color w:val="595959"/>
          <w:sz w:val="18"/>
          <w:szCs w:val="18"/>
        </w:rPr>
        <w:t xml:space="preserve"> και </w:t>
      </w:r>
      <w:hyperlink r:id="rId30" w:history="1">
        <w:r w:rsidRPr="00575A7E">
          <w:rPr>
            <w:rFonts w:ascii="Calibri Light" w:eastAsia="Calibri" w:hAnsi="Calibri Light" w:cs="Calibri Light"/>
            <w:color w:val="595959"/>
            <w:sz w:val="18"/>
            <w:szCs w:val="18"/>
            <w:u w:val="single"/>
          </w:rPr>
          <w:t>Τριμηνιαίοι Εθνικοί Λογαριασμοί</w:t>
        </w:r>
      </w:hyperlink>
    </w:p>
    <w:p w14:paraId="526A648D" w14:textId="77777777" w:rsidR="00283CC6" w:rsidRPr="00575A7E" w:rsidRDefault="00283CC6" w:rsidP="003B1BE9">
      <w:pPr>
        <w:autoSpaceDE w:val="0"/>
        <w:autoSpaceDN w:val="0"/>
        <w:adjustRightInd w:val="0"/>
        <w:spacing w:after="0" w:line="276" w:lineRule="auto"/>
        <w:jc w:val="both"/>
        <w:rPr>
          <w:rFonts w:ascii="Calibri" w:eastAsia="Calibri" w:hAnsi="Calibri" w:cs="Calibri"/>
          <w:color w:val="595959"/>
        </w:rPr>
      </w:pPr>
    </w:p>
    <w:p w14:paraId="56A049AA" w14:textId="687C5F34" w:rsidR="00283CC6" w:rsidRPr="00575A7E" w:rsidRDefault="00283CC6" w:rsidP="003B1BE9">
      <w:pPr>
        <w:autoSpaceDE w:val="0"/>
        <w:autoSpaceDN w:val="0"/>
        <w:adjustRightInd w:val="0"/>
        <w:spacing w:after="0" w:line="276" w:lineRule="auto"/>
        <w:jc w:val="both"/>
        <w:rPr>
          <w:rFonts w:ascii="Calibri" w:eastAsia="Calibri" w:hAnsi="Calibri" w:cs="Calibri"/>
          <w:color w:val="595959"/>
        </w:rPr>
      </w:pPr>
      <w:r w:rsidRPr="00575A7E">
        <w:rPr>
          <w:rFonts w:ascii="Calibri" w:eastAsia="Calibri" w:hAnsi="Calibri" w:cs="Calibri"/>
          <w:color w:val="595959"/>
        </w:rPr>
        <w:t xml:space="preserve">Η μείωση των </w:t>
      </w:r>
      <w:r w:rsidR="007B05A9">
        <w:rPr>
          <w:rFonts w:ascii="Calibri" w:eastAsia="Calibri" w:hAnsi="Calibri" w:cs="Calibri"/>
          <w:color w:val="595959"/>
        </w:rPr>
        <w:t>Ε</w:t>
      </w:r>
      <w:r w:rsidRPr="00575A7E">
        <w:rPr>
          <w:rFonts w:ascii="Calibri" w:eastAsia="Calibri" w:hAnsi="Calibri" w:cs="Calibri"/>
          <w:color w:val="595959"/>
        </w:rPr>
        <w:t xml:space="preserve">πενδύσεων (Ακαθάριστος </w:t>
      </w:r>
      <w:r w:rsidR="007B05A9">
        <w:rPr>
          <w:rFonts w:ascii="Calibri" w:eastAsia="Calibri" w:hAnsi="Calibri" w:cs="Calibri"/>
          <w:color w:val="595959"/>
        </w:rPr>
        <w:t>Σ</w:t>
      </w:r>
      <w:r w:rsidRPr="00575A7E">
        <w:rPr>
          <w:rFonts w:ascii="Calibri" w:eastAsia="Calibri" w:hAnsi="Calibri" w:cs="Calibri"/>
          <w:color w:val="595959"/>
        </w:rPr>
        <w:t xml:space="preserve">χηματισμός </w:t>
      </w:r>
      <w:r w:rsidR="007B05A9">
        <w:rPr>
          <w:rFonts w:ascii="Calibri" w:eastAsia="Calibri" w:hAnsi="Calibri" w:cs="Calibri"/>
          <w:color w:val="595959"/>
        </w:rPr>
        <w:t>Π</w:t>
      </w:r>
      <w:r w:rsidRPr="00575A7E">
        <w:rPr>
          <w:rFonts w:ascii="Calibri" w:eastAsia="Calibri" w:hAnsi="Calibri" w:cs="Calibri"/>
          <w:color w:val="595959"/>
        </w:rPr>
        <w:t xml:space="preserve">αγίου </w:t>
      </w:r>
      <w:r w:rsidR="007B05A9">
        <w:rPr>
          <w:rFonts w:ascii="Calibri" w:eastAsia="Calibri" w:hAnsi="Calibri" w:cs="Calibri"/>
          <w:color w:val="595959"/>
        </w:rPr>
        <w:t>Κ</w:t>
      </w:r>
      <w:r w:rsidRPr="00575A7E">
        <w:rPr>
          <w:rFonts w:ascii="Calibri" w:eastAsia="Calibri" w:hAnsi="Calibri" w:cs="Calibri"/>
          <w:color w:val="595959"/>
        </w:rPr>
        <w:t xml:space="preserve">εφαλαίου) για το σύνολο του 2020 </w:t>
      </w:r>
      <w:hyperlink r:id="rId31" w:history="1">
        <w:r w:rsidRPr="00575A7E">
          <w:rPr>
            <w:rStyle w:val="-"/>
            <w:rFonts w:ascii="Calibri" w:eastAsia="Calibri" w:hAnsi="Calibri" w:cs="Calibri"/>
            <w:color w:val="595959"/>
          </w:rPr>
          <w:t>οφείλεται</w:t>
        </w:r>
      </w:hyperlink>
      <w:r w:rsidRPr="00575A7E">
        <w:rPr>
          <w:rFonts w:ascii="Calibri" w:eastAsia="Calibri" w:hAnsi="Calibri" w:cs="Calibri"/>
          <w:color w:val="595959"/>
        </w:rPr>
        <w:t xml:space="preserve"> κατά κύριο λόγο στη</w:t>
      </w:r>
      <w:r w:rsidR="000A66EE">
        <w:rPr>
          <w:rFonts w:ascii="Calibri" w:eastAsia="Calibri" w:hAnsi="Calibri" w:cs="Calibri"/>
          <w:color w:val="595959"/>
        </w:rPr>
        <w:t>ν</w:t>
      </w:r>
      <w:r w:rsidRPr="00575A7E">
        <w:rPr>
          <w:rFonts w:ascii="Calibri" w:eastAsia="Calibri" w:hAnsi="Calibri" w:cs="Calibri"/>
          <w:color w:val="595959"/>
        </w:rPr>
        <w:t xml:space="preserve"> κατηγορία του </w:t>
      </w:r>
      <w:r w:rsidR="007B05A9">
        <w:rPr>
          <w:rFonts w:ascii="Calibri" w:eastAsia="Calibri" w:hAnsi="Calibri" w:cs="Calibri"/>
          <w:color w:val="595959"/>
        </w:rPr>
        <w:t>Ε</w:t>
      </w:r>
      <w:r w:rsidRPr="00575A7E">
        <w:rPr>
          <w:rFonts w:ascii="Calibri" w:eastAsia="Calibri" w:hAnsi="Calibri" w:cs="Calibri"/>
          <w:color w:val="595959"/>
        </w:rPr>
        <w:t xml:space="preserve">ξοπλισμού </w:t>
      </w:r>
      <w:r w:rsidR="007B05A9">
        <w:rPr>
          <w:rFonts w:ascii="Calibri" w:eastAsia="Calibri" w:hAnsi="Calibri" w:cs="Calibri"/>
          <w:color w:val="595959"/>
        </w:rPr>
        <w:t>Μ</w:t>
      </w:r>
      <w:r w:rsidRPr="00575A7E">
        <w:rPr>
          <w:rFonts w:ascii="Calibri" w:eastAsia="Calibri" w:hAnsi="Calibri" w:cs="Calibri"/>
          <w:color w:val="595959"/>
        </w:rPr>
        <w:t xml:space="preserve">εταφορών (-40,9%). Αρνητική συμβολή είχαν και τα </w:t>
      </w:r>
      <w:r w:rsidR="000A66EE">
        <w:rPr>
          <w:rFonts w:ascii="Calibri" w:eastAsia="Calibri" w:hAnsi="Calibri" w:cs="Calibri"/>
          <w:color w:val="595959"/>
        </w:rPr>
        <w:t>Ά</w:t>
      </w:r>
      <w:r w:rsidRPr="00575A7E">
        <w:rPr>
          <w:rFonts w:ascii="Calibri" w:eastAsia="Calibri" w:hAnsi="Calibri" w:cs="Calibri"/>
          <w:color w:val="595959"/>
        </w:rPr>
        <w:t xml:space="preserve">λλα προϊόντα (-2,4%). Αντίθετα, οι υπόλοιπες κατηγορίες επενδύσεων παρουσίασαν θετική μεταβολή κατά το 2020 (κατοικίες 15,1%, άλλες κατασκευές 8,7%, μεταλλικά προϊόντα και μηχανήματα 3,5%, αγροτικά προϊόντα 0,9%). Η αύξηση των </w:t>
      </w:r>
      <w:r w:rsidR="007B05A9">
        <w:rPr>
          <w:rFonts w:ascii="Calibri" w:eastAsia="Calibri" w:hAnsi="Calibri" w:cs="Calibri"/>
          <w:color w:val="595959"/>
        </w:rPr>
        <w:t>Ε</w:t>
      </w:r>
      <w:r w:rsidRPr="00575A7E">
        <w:rPr>
          <w:rFonts w:ascii="Calibri" w:eastAsia="Calibri" w:hAnsi="Calibri" w:cs="Calibri"/>
          <w:color w:val="595959"/>
        </w:rPr>
        <w:t xml:space="preserve">πενδύσεων για το τέταρτο τρίμηνο του 2020 </w:t>
      </w:r>
      <w:hyperlink r:id="rId32" w:history="1">
        <w:r w:rsidRPr="00575A7E">
          <w:rPr>
            <w:rStyle w:val="-"/>
            <w:rFonts w:ascii="Calibri" w:eastAsia="Calibri" w:hAnsi="Calibri" w:cs="Calibri"/>
            <w:color w:val="595959"/>
          </w:rPr>
          <w:t>οφείλεται</w:t>
        </w:r>
      </w:hyperlink>
      <w:r w:rsidRPr="00575A7E">
        <w:rPr>
          <w:rFonts w:ascii="Calibri" w:eastAsia="Calibri" w:hAnsi="Calibri" w:cs="Calibri"/>
          <w:color w:val="595959"/>
        </w:rPr>
        <w:t xml:space="preserve"> στις κατηγορίες </w:t>
      </w:r>
      <w:r w:rsidR="007B05A9">
        <w:rPr>
          <w:rFonts w:ascii="Calibri" w:eastAsia="Calibri" w:hAnsi="Calibri" w:cs="Calibri"/>
          <w:color w:val="595959"/>
        </w:rPr>
        <w:t>Ά</w:t>
      </w:r>
      <w:r w:rsidRPr="00575A7E">
        <w:rPr>
          <w:rFonts w:ascii="Calibri" w:eastAsia="Calibri" w:hAnsi="Calibri" w:cs="Calibri"/>
          <w:color w:val="595959"/>
        </w:rPr>
        <w:t>λλες</w:t>
      </w:r>
      <w:r w:rsidR="007B05A9">
        <w:rPr>
          <w:rFonts w:ascii="Calibri" w:eastAsia="Calibri" w:hAnsi="Calibri" w:cs="Calibri"/>
          <w:color w:val="595959"/>
        </w:rPr>
        <w:t xml:space="preserve"> Κ</w:t>
      </w:r>
      <w:r w:rsidRPr="00575A7E">
        <w:rPr>
          <w:rFonts w:ascii="Calibri" w:eastAsia="Calibri" w:hAnsi="Calibri" w:cs="Calibri"/>
          <w:color w:val="595959"/>
        </w:rPr>
        <w:t xml:space="preserve">ατασκευές (ετήσια αύξηση 10,8%) και </w:t>
      </w:r>
      <w:r w:rsidR="007B05A9">
        <w:rPr>
          <w:rFonts w:ascii="Calibri" w:eastAsia="Calibri" w:hAnsi="Calibri" w:cs="Calibri"/>
          <w:color w:val="595959"/>
        </w:rPr>
        <w:t>Κ</w:t>
      </w:r>
      <w:r w:rsidRPr="00575A7E">
        <w:rPr>
          <w:rFonts w:ascii="Calibri" w:eastAsia="Calibri" w:hAnsi="Calibri" w:cs="Calibri"/>
          <w:color w:val="595959"/>
        </w:rPr>
        <w:t xml:space="preserve">ατοικίες (ετήσια αύξηση 0,3%). Αντίθετα, αρνητική συμβολή παρουσίασαν οι κατηγορίες </w:t>
      </w:r>
      <w:r w:rsidR="007B05A9">
        <w:rPr>
          <w:rFonts w:ascii="Calibri" w:eastAsia="Calibri" w:hAnsi="Calibri" w:cs="Calibri"/>
          <w:color w:val="595959"/>
        </w:rPr>
        <w:t>Μ</w:t>
      </w:r>
      <w:r w:rsidRPr="00575A7E">
        <w:rPr>
          <w:rFonts w:ascii="Calibri" w:eastAsia="Calibri" w:hAnsi="Calibri" w:cs="Calibri"/>
          <w:color w:val="595959"/>
        </w:rPr>
        <w:t xml:space="preserve">εταφορικός </w:t>
      </w:r>
      <w:r w:rsidR="007B05A9">
        <w:rPr>
          <w:rFonts w:ascii="Calibri" w:eastAsia="Calibri" w:hAnsi="Calibri" w:cs="Calibri"/>
          <w:color w:val="595959"/>
        </w:rPr>
        <w:t>Ε</w:t>
      </w:r>
      <w:r w:rsidRPr="00575A7E">
        <w:rPr>
          <w:rFonts w:ascii="Calibri" w:eastAsia="Calibri" w:hAnsi="Calibri" w:cs="Calibri"/>
          <w:color w:val="595959"/>
        </w:rPr>
        <w:t xml:space="preserve">ξοπλισμός (ετήσια μείωση 24,8%) τα </w:t>
      </w:r>
      <w:r w:rsidR="007B05A9">
        <w:rPr>
          <w:rFonts w:ascii="Calibri" w:eastAsia="Calibri" w:hAnsi="Calibri" w:cs="Calibri"/>
          <w:color w:val="595959"/>
        </w:rPr>
        <w:t>Ά</w:t>
      </w:r>
      <w:r w:rsidRPr="00575A7E">
        <w:rPr>
          <w:rFonts w:ascii="Calibri" w:eastAsia="Calibri" w:hAnsi="Calibri" w:cs="Calibri"/>
          <w:color w:val="595959"/>
        </w:rPr>
        <w:t xml:space="preserve">λλα </w:t>
      </w:r>
      <w:r w:rsidR="007B05A9">
        <w:rPr>
          <w:rFonts w:ascii="Calibri" w:eastAsia="Calibri" w:hAnsi="Calibri" w:cs="Calibri"/>
          <w:color w:val="595959"/>
        </w:rPr>
        <w:t>Π</w:t>
      </w:r>
      <w:r w:rsidRPr="00575A7E">
        <w:rPr>
          <w:rFonts w:ascii="Calibri" w:eastAsia="Calibri" w:hAnsi="Calibri" w:cs="Calibri"/>
          <w:color w:val="595959"/>
        </w:rPr>
        <w:t xml:space="preserve">ροϊόντα (ετήσια μείωση 0,6%), τα </w:t>
      </w:r>
      <w:r w:rsidR="007B05A9">
        <w:rPr>
          <w:rFonts w:ascii="Calibri" w:eastAsia="Calibri" w:hAnsi="Calibri" w:cs="Calibri"/>
          <w:color w:val="595959"/>
        </w:rPr>
        <w:t>Α</w:t>
      </w:r>
      <w:r w:rsidRPr="00575A7E">
        <w:rPr>
          <w:rFonts w:ascii="Calibri" w:eastAsia="Calibri" w:hAnsi="Calibri" w:cs="Calibri"/>
          <w:color w:val="595959"/>
        </w:rPr>
        <w:t xml:space="preserve">γροτικά </w:t>
      </w:r>
      <w:r w:rsidR="007B05A9">
        <w:rPr>
          <w:rFonts w:ascii="Calibri" w:eastAsia="Calibri" w:hAnsi="Calibri" w:cs="Calibri"/>
          <w:color w:val="595959"/>
        </w:rPr>
        <w:t>Π</w:t>
      </w:r>
      <w:r w:rsidRPr="00575A7E">
        <w:rPr>
          <w:rFonts w:ascii="Calibri" w:eastAsia="Calibri" w:hAnsi="Calibri" w:cs="Calibri"/>
          <w:color w:val="595959"/>
        </w:rPr>
        <w:t xml:space="preserve">ροϊόντα (ετήσια μείωση 0,4%) και ο </w:t>
      </w:r>
      <w:r w:rsidR="007B05A9">
        <w:rPr>
          <w:rFonts w:ascii="Calibri" w:eastAsia="Calibri" w:hAnsi="Calibri" w:cs="Calibri"/>
          <w:color w:val="595959"/>
        </w:rPr>
        <w:t>Μ</w:t>
      </w:r>
      <w:r w:rsidRPr="00575A7E">
        <w:rPr>
          <w:rFonts w:ascii="Calibri" w:eastAsia="Calibri" w:hAnsi="Calibri" w:cs="Calibri"/>
          <w:color w:val="595959"/>
        </w:rPr>
        <w:t xml:space="preserve">ηχανολογικός </w:t>
      </w:r>
      <w:r w:rsidR="007B05A9">
        <w:rPr>
          <w:rFonts w:ascii="Calibri" w:eastAsia="Calibri" w:hAnsi="Calibri" w:cs="Calibri"/>
          <w:color w:val="595959"/>
        </w:rPr>
        <w:t>Ε</w:t>
      </w:r>
      <w:r w:rsidRPr="00575A7E">
        <w:rPr>
          <w:rFonts w:ascii="Calibri" w:eastAsia="Calibri" w:hAnsi="Calibri" w:cs="Calibri"/>
          <w:color w:val="595959"/>
        </w:rPr>
        <w:t xml:space="preserve">ξοπλισμός και </w:t>
      </w:r>
      <w:r w:rsidR="007B05A9">
        <w:rPr>
          <w:rFonts w:ascii="Calibri" w:eastAsia="Calibri" w:hAnsi="Calibri" w:cs="Calibri"/>
          <w:color w:val="595959"/>
        </w:rPr>
        <w:t>Ο</w:t>
      </w:r>
      <w:r w:rsidRPr="00575A7E">
        <w:rPr>
          <w:rFonts w:ascii="Calibri" w:eastAsia="Calibri" w:hAnsi="Calibri" w:cs="Calibri"/>
          <w:color w:val="595959"/>
        </w:rPr>
        <w:t xml:space="preserve">πλικά </w:t>
      </w:r>
      <w:r w:rsidR="007B05A9">
        <w:rPr>
          <w:rFonts w:ascii="Calibri" w:eastAsia="Calibri" w:hAnsi="Calibri" w:cs="Calibri"/>
          <w:color w:val="595959"/>
        </w:rPr>
        <w:t>Σ</w:t>
      </w:r>
      <w:r w:rsidRPr="00575A7E">
        <w:rPr>
          <w:rFonts w:ascii="Calibri" w:eastAsia="Calibri" w:hAnsi="Calibri" w:cs="Calibri"/>
          <w:color w:val="595959"/>
        </w:rPr>
        <w:t xml:space="preserve">υστήματα (ετήσια μείωση 0,1%). </w:t>
      </w:r>
    </w:p>
    <w:p w14:paraId="5E36F3CB" w14:textId="77777777" w:rsidR="00283CC6" w:rsidRPr="00575A7E" w:rsidRDefault="00283CC6" w:rsidP="003B1BE9">
      <w:pPr>
        <w:tabs>
          <w:tab w:val="left" w:pos="6048"/>
        </w:tabs>
        <w:autoSpaceDE w:val="0"/>
        <w:autoSpaceDN w:val="0"/>
        <w:adjustRightInd w:val="0"/>
        <w:spacing w:after="0" w:line="276" w:lineRule="auto"/>
        <w:jc w:val="both"/>
        <w:rPr>
          <w:rFonts w:ascii="Calibri" w:eastAsia="Calibri" w:hAnsi="Calibri" w:cs="Calibri"/>
          <w:color w:val="FF0000"/>
          <w:lang w:bidi="he-IL"/>
        </w:rPr>
      </w:pPr>
    </w:p>
    <w:p w14:paraId="7D33A84E" w14:textId="77777777" w:rsidR="00283CC6" w:rsidRPr="00575A7E" w:rsidRDefault="00825DE1" w:rsidP="003B1BE9">
      <w:pPr>
        <w:pStyle w:val="3"/>
        <w:spacing w:before="0" w:line="276" w:lineRule="auto"/>
      </w:pPr>
      <w:bookmarkStart w:id="28" w:name="_Toc56073714"/>
      <w:bookmarkStart w:id="29" w:name="_Toc67401896"/>
      <w:r>
        <w:t>Β</w:t>
      </w:r>
      <w:r w:rsidR="00283CC6" w:rsidRPr="00575A7E">
        <w:t>ραχυχρόνιοι δείκτες</w:t>
      </w:r>
      <w:bookmarkEnd w:id="28"/>
      <w:bookmarkEnd w:id="29"/>
    </w:p>
    <w:p w14:paraId="41CCB850" w14:textId="77777777" w:rsidR="00283CC6" w:rsidRPr="00575A7E" w:rsidRDefault="00283CC6" w:rsidP="003B1BE9">
      <w:pPr>
        <w:spacing w:after="0" w:line="276" w:lineRule="auto"/>
        <w:jc w:val="both"/>
        <w:rPr>
          <w:color w:val="595959"/>
        </w:rPr>
      </w:pPr>
    </w:p>
    <w:p w14:paraId="65C7B831" w14:textId="0774C98A" w:rsidR="003E7A58" w:rsidRPr="00575A7E" w:rsidRDefault="00283CC6" w:rsidP="003B1BE9">
      <w:pPr>
        <w:autoSpaceDE w:val="0"/>
        <w:autoSpaceDN w:val="0"/>
        <w:adjustRightInd w:val="0"/>
        <w:spacing w:line="276" w:lineRule="auto"/>
        <w:jc w:val="both"/>
        <w:rPr>
          <w:rFonts w:ascii="Calibri" w:eastAsia="Calibri" w:hAnsi="Calibri" w:cs="Calibri"/>
          <w:color w:val="595959"/>
        </w:rPr>
      </w:pPr>
      <w:r w:rsidRPr="00575A7E">
        <w:rPr>
          <w:rFonts w:ascii="Calibri" w:eastAsia="Calibri" w:hAnsi="Calibri" w:cs="Calibri"/>
          <w:color w:val="595959"/>
        </w:rPr>
        <w:t xml:space="preserve">Αναφορικά με τους βραχυχρόνιους </w:t>
      </w:r>
      <w:r w:rsidRPr="00575A7E">
        <w:rPr>
          <w:rFonts w:ascii="Calibri" w:eastAsia="Calibri" w:hAnsi="Calibri" w:cs="Calibri"/>
          <w:color w:val="595959" w:themeColor="text1" w:themeTint="A6"/>
        </w:rPr>
        <w:t xml:space="preserve">δείκτες, ο </w:t>
      </w:r>
      <w:hyperlink r:id="rId33" w:history="1">
        <w:r w:rsidRPr="00575A7E">
          <w:rPr>
            <w:rStyle w:val="-"/>
            <w:rFonts w:ascii="Calibri" w:eastAsia="Calibri" w:hAnsi="Calibri" w:cs="Calibri"/>
            <w:color w:val="595959" w:themeColor="text1" w:themeTint="A6"/>
          </w:rPr>
          <w:t>Δείκτης Οικονομικού Κλίματος</w:t>
        </w:r>
      </w:hyperlink>
      <w:r w:rsidRPr="00575A7E">
        <w:rPr>
          <w:rFonts w:ascii="Calibri" w:eastAsia="Calibri" w:hAnsi="Calibri" w:cs="Calibri"/>
          <w:color w:val="595959" w:themeColor="text1" w:themeTint="A6"/>
        </w:rPr>
        <w:t xml:space="preserve"> (</w:t>
      </w:r>
      <w:r w:rsidRPr="00575A7E">
        <w:rPr>
          <w:rFonts w:ascii="Calibri" w:eastAsia="Calibri" w:hAnsi="Calibri" w:cs="Calibri"/>
          <w:color w:val="595959" w:themeColor="text1" w:themeTint="A6"/>
          <w:lang w:val="en-US"/>
        </w:rPr>
        <w:t>Economic</w:t>
      </w:r>
      <w:r w:rsidRPr="00575A7E">
        <w:rPr>
          <w:rFonts w:ascii="Calibri" w:eastAsia="Calibri" w:hAnsi="Calibri" w:cs="Calibri"/>
          <w:color w:val="595959" w:themeColor="text1" w:themeTint="A6"/>
        </w:rPr>
        <w:t xml:space="preserve"> </w:t>
      </w:r>
      <w:r w:rsidRPr="00575A7E">
        <w:rPr>
          <w:rFonts w:ascii="Calibri" w:eastAsia="Calibri" w:hAnsi="Calibri" w:cs="Calibri"/>
          <w:color w:val="595959"/>
          <w:lang w:val="en-US"/>
        </w:rPr>
        <w:t>Sentiment</w:t>
      </w:r>
      <w:r w:rsidRPr="00575A7E">
        <w:rPr>
          <w:rFonts w:ascii="Calibri" w:eastAsia="Calibri" w:hAnsi="Calibri" w:cs="Calibri"/>
          <w:color w:val="595959"/>
        </w:rPr>
        <w:t xml:space="preserve"> </w:t>
      </w:r>
      <w:r w:rsidRPr="00575A7E">
        <w:rPr>
          <w:rFonts w:ascii="Calibri" w:eastAsia="Calibri" w:hAnsi="Calibri" w:cs="Calibri"/>
          <w:color w:val="595959"/>
          <w:lang w:val="en-US"/>
        </w:rPr>
        <w:t>Indicator</w:t>
      </w:r>
      <w:r w:rsidRPr="00575A7E">
        <w:rPr>
          <w:rFonts w:ascii="Calibri" w:eastAsia="Calibri" w:hAnsi="Calibri" w:cs="Calibri"/>
          <w:color w:val="595959"/>
        </w:rPr>
        <w:t xml:space="preserve">, </w:t>
      </w:r>
      <w:r w:rsidRPr="00575A7E">
        <w:rPr>
          <w:rFonts w:ascii="Calibri" w:eastAsia="Calibri" w:hAnsi="Calibri" w:cs="Calibri"/>
          <w:color w:val="595959"/>
          <w:lang w:val="en-US"/>
        </w:rPr>
        <w:t>ESI</w:t>
      </w:r>
      <w:r w:rsidRPr="00575A7E">
        <w:rPr>
          <w:rFonts w:ascii="Calibri" w:eastAsia="Calibri" w:hAnsi="Calibri" w:cs="Calibri"/>
          <w:color w:val="595959"/>
        </w:rPr>
        <w:t xml:space="preserve">) διαμορφώθηκε στις 91,9 μονάδες τον Φεβρουάριο του 2021 μειωμένος σε σχέση με τον </w:t>
      </w:r>
      <w:r w:rsidR="00AB2BA4" w:rsidRPr="00AB2BA4">
        <w:rPr>
          <w:rFonts w:ascii="Calibri" w:eastAsia="Calibri" w:hAnsi="Calibri" w:cs="Calibri"/>
          <w:color w:val="595959"/>
        </w:rPr>
        <w:t xml:space="preserve">Φεβρουάριο </w:t>
      </w:r>
      <w:r w:rsidRPr="00575A7E">
        <w:rPr>
          <w:rFonts w:ascii="Calibri" w:eastAsia="Calibri" w:hAnsi="Calibri" w:cs="Calibri"/>
          <w:color w:val="595959"/>
        </w:rPr>
        <w:t>του 2020 (</w:t>
      </w:r>
      <w:r w:rsidR="00AB2BA4" w:rsidRPr="00DD1444">
        <w:rPr>
          <w:rFonts w:ascii="Calibri" w:eastAsia="Calibri" w:hAnsi="Calibri" w:cs="Calibri"/>
          <w:color w:val="595959"/>
        </w:rPr>
        <w:t>113</w:t>
      </w:r>
      <w:r w:rsidR="00D43F49">
        <w:rPr>
          <w:rFonts w:ascii="Calibri" w:eastAsia="Calibri" w:hAnsi="Calibri" w:cs="Calibri"/>
          <w:color w:val="595959"/>
        </w:rPr>
        <w:t>,</w:t>
      </w:r>
      <w:r w:rsidR="00AB2BA4" w:rsidRPr="00DD1444">
        <w:rPr>
          <w:rFonts w:ascii="Calibri" w:eastAsia="Calibri" w:hAnsi="Calibri" w:cs="Calibri"/>
          <w:color w:val="595959"/>
        </w:rPr>
        <w:t>4</w:t>
      </w:r>
      <w:r w:rsidRPr="00575A7E">
        <w:rPr>
          <w:rFonts w:ascii="Calibri" w:eastAsia="Calibri" w:hAnsi="Calibri" w:cs="Calibri"/>
          <w:color w:val="595959"/>
        </w:rPr>
        <w:t xml:space="preserve">) και ελαφρώς αυξημένος σε σχέση με τον </w:t>
      </w:r>
      <w:r w:rsidRPr="00575A7E">
        <w:rPr>
          <w:color w:val="595959"/>
        </w:rPr>
        <w:t>προηγούμενο μήνα</w:t>
      </w:r>
      <w:r w:rsidRPr="00575A7E">
        <w:rPr>
          <w:rFonts w:ascii="Calibri" w:eastAsia="Calibri" w:hAnsi="Calibri" w:cs="Calibri"/>
          <w:color w:val="595959"/>
        </w:rPr>
        <w:t xml:space="preserve"> (</w:t>
      </w:r>
      <w:r w:rsidRPr="00575A7E">
        <w:rPr>
          <w:color w:val="595959"/>
        </w:rPr>
        <w:t>90,7</w:t>
      </w:r>
      <w:bookmarkStart w:id="30" w:name="_Hlk66281036"/>
      <w:r w:rsidR="00BF5A5F" w:rsidRPr="00575A7E">
        <w:rPr>
          <w:color w:val="595959"/>
        </w:rPr>
        <w:t xml:space="preserve">). </w:t>
      </w:r>
      <w:r w:rsidR="003E7A58" w:rsidRPr="00575A7E">
        <w:rPr>
          <w:rFonts w:ascii="Calibri" w:eastAsia="Calibri" w:hAnsi="Calibri" w:cs="Calibri"/>
          <w:color w:val="595959"/>
        </w:rPr>
        <w:t>Ο </w:t>
      </w:r>
      <w:hyperlink r:id="rId34" w:history="1">
        <w:r w:rsidR="003E7A58" w:rsidRPr="00575A7E">
          <w:rPr>
            <w:rStyle w:val="-"/>
            <w:rFonts w:ascii="Calibri" w:eastAsia="Calibri" w:hAnsi="Calibri" w:cs="Calibri"/>
            <w:color w:val="595959"/>
          </w:rPr>
          <w:t>Γενικός Δείκτης Βιομηχανικής Παραγωγής </w:t>
        </w:r>
      </w:hyperlink>
      <w:r w:rsidR="003E7A58" w:rsidRPr="00575A7E">
        <w:rPr>
          <w:rFonts w:ascii="Calibri" w:eastAsia="Calibri" w:hAnsi="Calibri" w:cs="Calibri"/>
          <w:color w:val="595959"/>
        </w:rPr>
        <w:t>παρουσίασε τον Ιανουάριο του 2021 αύξηση κατά 3,4% σε σχέση με τον αντίσ</w:t>
      </w:r>
      <w:r w:rsidR="00BF5A5F" w:rsidRPr="00575A7E">
        <w:rPr>
          <w:rFonts w:ascii="Calibri" w:eastAsia="Calibri" w:hAnsi="Calibri" w:cs="Calibri"/>
          <w:color w:val="595959"/>
        </w:rPr>
        <w:t>τοιχο μήνα του 2019, κυρίως λόγω</w:t>
      </w:r>
      <w:r w:rsidR="003E7A58" w:rsidRPr="00575A7E">
        <w:rPr>
          <w:rFonts w:ascii="Calibri" w:eastAsia="Calibri" w:hAnsi="Calibri" w:cs="Calibri"/>
          <w:color w:val="595959"/>
        </w:rPr>
        <w:t xml:space="preserve"> της αύξησης κατά 10,8% του δείκτη παροχής ηλεκτρικού ρεύματος, κατά 10,1% του δείκτη ορυχείων - λατομείων και της μείωσης κατά 1,6% του δείκτη παροχής νερού.</w:t>
      </w:r>
    </w:p>
    <w:bookmarkEnd w:id="30"/>
    <w:p w14:paraId="39F2158E" w14:textId="77777777" w:rsidR="000E6E29" w:rsidRPr="004A24C6" w:rsidRDefault="00283CC6" w:rsidP="003B1BE9">
      <w:pPr>
        <w:autoSpaceDE w:val="0"/>
        <w:autoSpaceDN w:val="0"/>
        <w:adjustRightInd w:val="0"/>
        <w:spacing w:line="276" w:lineRule="auto"/>
        <w:jc w:val="both"/>
        <w:rPr>
          <w:rFonts w:ascii="Calibri" w:eastAsia="Calibri" w:hAnsi="Calibri" w:cs="Calibri"/>
          <w:color w:val="595959"/>
        </w:rPr>
      </w:pPr>
      <w:r w:rsidRPr="00575A7E">
        <w:rPr>
          <w:rFonts w:ascii="Calibri" w:hAnsi="Calibri" w:cs="Calibri"/>
          <w:color w:val="595959"/>
          <w:shd w:val="clear" w:color="auto" w:fill="FFFFFF"/>
        </w:rPr>
        <w:t>Ο </w:t>
      </w:r>
      <w:hyperlink r:id="rId35" w:history="1">
        <w:r w:rsidRPr="00575A7E">
          <w:rPr>
            <w:rStyle w:val="-"/>
            <w:rFonts w:ascii="Calibri" w:hAnsi="Calibri" w:cs="Calibri"/>
            <w:color w:val="595959"/>
            <w:shd w:val="clear" w:color="auto" w:fill="FFFFFF"/>
          </w:rPr>
          <w:t>Δείκτης Κύκλου Εργασιών στο Λιανικό Εμπόριο</w:t>
        </w:r>
        <w:r w:rsidRPr="00575A7E">
          <w:rPr>
            <w:rStyle w:val="-"/>
            <w:rFonts w:ascii="Calibri" w:hAnsi="Calibri" w:cs="Calibri"/>
            <w:color w:val="595959"/>
            <w:u w:val="none"/>
            <w:shd w:val="clear" w:color="auto" w:fill="FFFFFF"/>
          </w:rPr>
          <w:t> </w:t>
        </w:r>
      </w:hyperlink>
      <w:r w:rsidRPr="00575A7E">
        <w:rPr>
          <w:rFonts w:ascii="Calibri" w:hAnsi="Calibri" w:cs="Calibri"/>
          <w:color w:val="595959"/>
          <w:shd w:val="clear" w:color="auto" w:fill="FFFFFF"/>
        </w:rPr>
        <w:t>τον Δεκέμβριο του 2020 παρουσίασε μείωση σε ετήσια βάση κατά 12,3% ενώ σε εποχικά διορθωμένους όρους μειώθηκε κατά 2,8% σε σχέση με τον προηγούμενο μήνα. Ο Δείκτης Όγκου στο Λιανικό Εμπόριο κατά τον ίδιο μήνα μειώθηκε κατά 11,0% σε ετήσια βάση, ενώ σε εποχικά διορθωμένους όρους μειώθηκε κατά 3,0% σε σχέση με τον προηγούμενο μήνα. Τέλος,</w:t>
      </w:r>
      <w:r w:rsidRPr="00575A7E">
        <w:rPr>
          <w:rFonts w:ascii="Calibri" w:eastAsia="Calibri" w:hAnsi="Calibri" w:cs="Calibri"/>
          <w:color w:val="595959"/>
        </w:rPr>
        <w:t xml:space="preserve"> ο </w:t>
      </w:r>
      <w:hyperlink r:id="rId36" w:history="1">
        <w:r w:rsidRPr="00575A7E">
          <w:rPr>
            <w:rStyle w:val="-"/>
            <w:color w:val="595959"/>
          </w:rPr>
          <w:t>Δείκτης Υπευθύνων Προμηθειών στη Μεταποίηση (PMI)</w:t>
        </w:r>
      </w:hyperlink>
      <w:r w:rsidRPr="00575A7E">
        <w:rPr>
          <w:rFonts w:ascii="Calibri" w:eastAsia="Calibri" w:hAnsi="Calibri" w:cs="Calibri"/>
          <w:color w:val="595959"/>
        </w:rPr>
        <w:t xml:space="preserve"> διαμορφώθηκε στις 49,4 μονάδες τον Φεβρουάριο του 2021, χαμηλότερα σε σχέση με τις 50,0 μονάδες τον Ιανουάριο του 2021. Η παραγωγή και οι νέες παραγγελίες συρρικνώθηκαν κατά το Φεβρουάριο καθώς ο ρυθμός μείωσης επιταχύνθηκε. Κυριότεροι παράγοντες τ</w:t>
      </w:r>
      <w:r w:rsidR="0072390A" w:rsidRPr="00575A7E">
        <w:rPr>
          <w:rFonts w:ascii="Calibri" w:eastAsia="Calibri" w:hAnsi="Calibri" w:cs="Calibri"/>
          <w:color w:val="595959"/>
        </w:rPr>
        <w:t>ης πτώσης του δείκτη θεωρούνται</w:t>
      </w:r>
      <w:r w:rsidRPr="00575A7E">
        <w:rPr>
          <w:rFonts w:ascii="Calibri" w:eastAsia="Calibri" w:hAnsi="Calibri" w:cs="Calibri"/>
          <w:color w:val="595959"/>
        </w:rPr>
        <w:t xml:space="preserve"> τα συνεχιζόμενα περιοριστικά μέτρα λόγω COVID-19, η ασθενής ζήτηση από την πλευρά των πελατών και το προσωρινό κλείσιμο των επιχειρήσεων των πελατών.</w:t>
      </w:r>
    </w:p>
    <w:p w14:paraId="1731B5B1" w14:textId="77777777" w:rsidR="000927FF" w:rsidRPr="000E6E29" w:rsidRDefault="000927FF" w:rsidP="003B1BE9">
      <w:pPr>
        <w:pStyle w:val="3"/>
        <w:spacing w:line="276" w:lineRule="auto"/>
        <w:rPr>
          <w:rFonts w:eastAsia="Calibri"/>
        </w:rPr>
      </w:pPr>
      <w:bookmarkStart w:id="31" w:name="_Toc67401897"/>
      <w:r w:rsidRPr="000E6E29">
        <w:rPr>
          <w:rFonts w:eastAsia="Calibri"/>
        </w:rPr>
        <w:t>Δημοσιονομικές παρεμβάσεις και προβλέψεις</w:t>
      </w:r>
      <w:bookmarkEnd w:id="31"/>
    </w:p>
    <w:p w14:paraId="6913F741" w14:textId="77777777" w:rsidR="000927FF" w:rsidRPr="000E6E29" w:rsidRDefault="000927FF" w:rsidP="003B1BE9">
      <w:pPr>
        <w:spacing w:after="0" w:line="276" w:lineRule="auto"/>
        <w:jc w:val="both"/>
        <w:rPr>
          <w:rFonts w:ascii="Calibri" w:eastAsia="Calibri" w:hAnsi="Calibri" w:cs="Times New Roman"/>
          <w:color w:val="595959"/>
        </w:rPr>
      </w:pPr>
    </w:p>
    <w:p w14:paraId="3E015C0B" w14:textId="17DDD81A" w:rsidR="00F75798" w:rsidRDefault="000927FF" w:rsidP="003B1BE9">
      <w:pPr>
        <w:spacing w:after="0" w:line="276" w:lineRule="auto"/>
        <w:jc w:val="both"/>
        <w:rPr>
          <w:rFonts w:ascii="Calibri" w:eastAsia="Calibri" w:hAnsi="Calibri" w:cs="Times New Roman"/>
          <w:color w:val="595959"/>
        </w:rPr>
      </w:pPr>
      <w:r w:rsidRPr="000E6E29">
        <w:rPr>
          <w:rFonts w:ascii="Calibri" w:eastAsia="Calibri" w:hAnsi="Calibri" w:cs="Times New Roman"/>
          <w:color w:val="595959"/>
        </w:rPr>
        <w:t>Με βάση τα στοιχεία του Γραφείου Προϋπολογισμού του Κράτους στη Βουλή, οι έκτακτες δημοσιονομικές παρεμβάσεις που υλοποιήθηκαν εντός του 2020 έφτασαν τα 14,9 δις</w:t>
      </w:r>
      <w:r w:rsidR="000A66EE">
        <w:rPr>
          <w:rFonts w:ascii="Calibri" w:eastAsia="Calibri" w:hAnsi="Calibri" w:cs="Times New Roman"/>
          <w:color w:val="595959"/>
        </w:rPr>
        <w:t>,</w:t>
      </w:r>
      <w:r w:rsidRPr="000E6E29">
        <w:rPr>
          <w:rFonts w:ascii="Calibri" w:eastAsia="Calibri" w:hAnsi="Calibri" w:cs="Times New Roman"/>
          <w:color w:val="595959"/>
        </w:rPr>
        <w:t xml:space="preserve"> ενώ εκείνες που προβλέπονται για το 2021 είναι λίγο παραπάνω από 10 δις. Σημειώνουμε ότι οι παρεμβάσεις για το 2021 περιλαμβάνουν τόσο τα μέτρα που σχετίζονται με την πανδημία</w:t>
      </w:r>
      <w:r w:rsidR="009C6A0F">
        <w:rPr>
          <w:rFonts w:ascii="Calibri" w:eastAsia="Calibri" w:hAnsi="Calibri" w:cs="Times New Roman"/>
          <w:color w:val="595959"/>
        </w:rPr>
        <w:t>,</w:t>
      </w:r>
      <w:r w:rsidRPr="000E6E29">
        <w:rPr>
          <w:rFonts w:ascii="Calibri" w:eastAsia="Calibri" w:hAnsi="Calibri" w:cs="Times New Roman"/>
          <w:color w:val="595959"/>
        </w:rPr>
        <w:t xml:space="preserve"> που είτε έχουν εφαρμοστεί είτε έχουν νομοθετηθεί είτε έχουν ανακοινωθεί</w:t>
      </w:r>
      <w:r w:rsidR="009C6A0F">
        <w:rPr>
          <w:rFonts w:ascii="Calibri" w:eastAsia="Calibri" w:hAnsi="Calibri" w:cs="Times New Roman"/>
          <w:color w:val="595959"/>
        </w:rPr>
        <w:t>,</w:t>
      </w:r>
      <w:r w:rsidRPr="000E6E29">
        <w:rPr>
          <w:rFonts w:ascii="Calibri" w:eastAsia="Calibri" w:hAnsi="Calibri" w:cs="Times New Roman"/>
          <w:color w:val="595959"/>
        </w:rPr>
        <w:t xml:space="preserve"> όσο και εκείνα που δεν σχετίζονται ευθέως με την πανδημία, όπως η μείωση των ασφαλιστικών εισφορών και η κατάργηση της εισφοράς αλληλεγγύης για τον ιδιωτικό τομέα (περίπου 1,5 δις). </w:t>
      </w:r>
      <w:r w:rsidR="006110B7" w:rsidRPr="006110B7">
        <w:rPr>
          <w:rFonts w:ascii="Calibri" w:eastAsia="Calibri" w:hAnsi="Calibri" w:cs="Times New Roman"/>
          <w:color w:val="595959"/>
        </w:rPr>
        <w:t xml:space="preserve">Σημειώνουμε επίσης ότι δεν περιλαμβάνονται οι εγγυήσεις καθώς, παρότι μειώνουν τον </w:t>
      </w:r>
      <w:r w:rsidR="006110B7" w:rsidRPr="006110B7">
        <w:rPr>
          <w:rFonts w:ascii="Calibri" w:eastAsia="Calibri" w:hAnsi="Calibri" w:cs="Times New Roman"/>
          <w:color w:val="595959"/>
        </w:rPr>
        <w:lastRenderedPageBreak/>
        <w:t>πιστωτικό κίνδυνο και διευκολύνουν τη χρηματοδότηση της οικονομίας, δεν αποτελούν δημόσια δαπάνη και δεν επηρεάζουν άμεσα το δημοσιονομικό αποτέλεσμα</w:t>
      </w:r>
      <w:r w:rsidRPr="000E6E29">
        <w:rPr>
          <w:rFonts w:ascii="Calibri" w:eastAsia="Calibri" w:hAnsi="Calibri" w:cs="Times New Roman"/>
          <w:color w:val="595959"/>
        </w:rPr>
        <w:t>. Τέλος, τα ποσά των μέτρων καταγράφονται σε ταμειακή βάση, δηλαδή στο ύψος των ποσών που καταβλήθηκαν ή δεν εισπράχθηκαν, και όχι σε δημοσιονομική βάση, δηλαδή πόσο θα επηρεάσουν το αποτέλεσμα, αφού οι τρόποι εγγραφής και κατανομής τους σε επιμέρους έτη διαφέρουν (ο γενικός κανόνας είναι να υπολογιστούν μόνο τα ποσά που δεν θα επιστραφούν στο μέλλον).</w:t>
      </w:r>
    </w:p>
    <w:p w14:paraId="5534ED42" w14:textId="77777777" w:rsidR="00373D77" w:rsidRPr="00373D77" w:rsidRDefault="00373D77" w:rsidP="003B1BE9">
      <w:pPr>
        <w:spacing w:after="0" w:line="276" w:lineRule="auto"/>
        <w:jc w:val="both"/>
        <w:rPr>
          <w:rFonts w:ascii="Calibri" w:eastAsia="Calibri" w:hAnsi="Calibri" w:cs="Times New Roman"/>
          <w:color w:val="595959"/>
        </w:rPr>
      </w:pPr>
    </w:p>
    <w:p w14:paraId="6A7EDFF4" w14:textId="5C281F63" w:rsidR="00373D77" w:rsidRPr="004D4500" w:rsidRDefault="00D960BC" w:rsidP="00D960BC">
      <w:pPr>
        <w:pStyle w:val="ae"/>
        <w:jc w:val="center"/>
      </w:pPr>
      <w:bookmarkStart w:id="32" w:name="_Toc67396681"/>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2</w:t>
      </w:r>
      <w:r w:rsidR="0096217C">
        <w:rPr>
          <w:noProof/>
        </w:rPr>
        <w:fldChar w:fldCharType="end"/>
      </w:r>
      <w:r w:rsidR="00373D77" w:rsidRPr="00373D77">
        <w:t xml:space="preserve"> Έκτακτες δημοσιονομικές παρεμβάσεις 2020-21</w:t>
      </w:r>
      <w:r w:rsidR="004D4500" w:rsidRPr="001C1DF1">
        <w:t>(</w:t>
      </w:r>
      <w:r w:rsidR="004D4500">
        <w:t xml:space="preserve">σε εκατ. </w:t>
      </w:r>
      <w:r w:rsidR="000A66EE">
        <w:t>ε</w:t>
      </w:r>
      <w:r w:rsidR="004D4500">
        <w:t>υρώ)</w:t>
      </w:r>
      <w:bookmarkEnd w:id="32"/>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960"/>
        <w:gridCol w:w="960"/>
        <w:gridCol w:w="960"/>
      </w:tblGrid>
      <w:tr w:rsidR="000927FF" w:rsidRPr="000E6E29" w14:paraId="2E543EB2" w14:textId="77777777" w:rsidTr="00F75798">
        <w:trPr>
          <w:trHeight w:val="300"/>
          <w:jc w:val="center"/>
        </w:trPr>
        <w:tc>
          <w:tcPr>
            <w:tcW w:w="4244" w:type="dxa"/>
            <w:tcBorders>
              <w:bottom w:val="single" w:sz="4" w:space="0" w:color="auto"/>
            </w:tcBorders>
            <w:noWrap/>
            <w:hideMark/>
          </w:tcPr>
          <w:p w14:paraId="206291D2" w14:textId="77777777" w:rsidR="000927FF" w:rsidRPr="00DD1444" w:rsidRDefault="000927FF" w:rsidP="003B1BE9">
            <w:pPr>
              <w:spacing w:line="276" w:lineRule="auto"/>
              <w:jc w:val="both"/>
              <w:rPr>
                <w:rFonts w:ascii="Calibri" w:eastAsia="Calibri" w:hAnsi="Calibri" w:cs="Times New Roman"/>
                <w:color w:val="595959"/>
                <w:sz w:val="18"/>
                <w:szCs w:val="18"/>
              </w:rPr>
            </w:pPr>
            <w:r w:rsidRPr="00DD1444">
              <w:rPr>
                <w:rFonts w:ascii="Calibri" w:eastAsia="Calibri" w:hAnsi="Calibri" w:cs="Times New Roman"/>
                <w:color w:val="595959"/>
                <w:sz w:val="18"/>
                <w:szCs w:val="18"/>
                <w:lang w:val="en-US"/>
              </w:rPr>
              <w:t> </w:t>
            </w:r>
          </w:p>
        </w:tc>
        <w:tc>
          <w:tcPr>
            <w:tcW w:w="960" w:type="dxa"/>
            <w:tcBorders>
              <w:bottom w:val="single" w:sz="4" w:space="0" w:color="auto"/>
            </w:tcBorders>
            <w:noWrap/>
            <w:vAlign w:val="center"/>
            <w:hideMark/>
          </w:tcPr>
          <w:p w14:paraId="0080FAA3"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2020</w:t>
            </w:r>
          </w:p>
        </w:tc>
        <w:tc>
          <w:tcPr>
            <w:tcW w:w="960" w:type="dxa"/>
            <w:tcBorders>
              <w:bottom w:val="single" w:sz="4" w:space="0" w:color="auto"/>
            </w:tcBorders>
            <w:noWrap/>
            <w:vAlign w:val="center"/>
            <w:hideMark/>
          </w:tcPr>
          <w:p w14:paraId="6F1BEE6B"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2021</w:t>
            </w:r>
          </w:p>
        </w:tc>
        <w:tc>
          <w:tcPr>
            <w:tcW w:w="960" w:type="dxa"/>
            <w:tcBorders>
              <w:bottom w:val="single" w:sz="4" w:space="0" w:color="auto"/>
            </w:tcBorders>
            <w:noWrap/>
            <w:vAlign w:val="center"/>
            <w:hideMark/>
          </w:tcPr>
          <w:p w14:paraId="1D966959"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2020-21</w:t>
            </w:r>
          </w:p>
        </w:tc>
      </w:tr>
      <w:tr w:rsidR="000927FF" w:rsidRPr="000E6E29" w14:paraId="565320B2" w14:textId="77777777" w:rsidTr="00F75798">
        <w:trPr>
          <w:trHeight w:val="300"/>
          <w:jc w:val="center"/>
        </w:trPr>
        <w:tc>
          <w:tcPr>
            <w:tcW w:w="4244" w:type="dxa"/>
            <w:tcBorders>
              <w:top w:val="single" w:sz="4" w:space="0" w:color="auto"/>
            </w:tcBorders>
            <w:noWrap/>
            <w:hideMark/>
          </w:tcPr>
          <w:p w14:paraId="70F5F174" w14:textId="77777777" w:rsidR="000927FF" w:rsidRPr="00DD1444" w:rsidRDefault="000927FF" w:rsidP="003B1BE9">
            <w:pPr>
              <w:spacing w:line="276" w:lineRule="auto"/>
              <w:jc w:val="both"/>
              <w:rPr>
                <w:rFonts w:ascii="Calibri" w:eastAsia="Calibri" w:hAnsi="Calibri" w:cs="Times New Roman"/>
                <w:color w:val="595959"/>
                <w:sz w:val="18"/>
                <w:szCs w:val="18"/>
              </w:rPr>
            </w:pPr>
            <w:r w:rsidRPr="00DD1444">
              <w:rPr>
                <w:rFonts w:ascii="Calibri" w:eastAsia="Calibri" w:hAnsi="Calibri" w:cs="Times New Roman"/>
                <w:color w:val="595959"/>
                <w:sz w:val="18"/>
                <w:szCs w:val="18"/>
              </w:rPr>
              <w:t>Έσοδα (συμπεριλαμβάνονται οι αναστολές πληρωμών)</w:t>
            </w:r>
          </w:p>
        </w:tc>
        <w:tc>
          <w:tcPr>
            <w:tcW w:w="960" w:type="dxa"/>
            <w:tcBorders>
              <w:top w:val="single" w:sz="4" w:space="0" w:color="auto"/>
            </w:tcBorders>
            <w:noWrap/>
            <w:vAlign w:val="center"/>
            <w:hideMark/>
          </w:tcPr>
          <w:p w14:paraId="263CD139"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3.424</w:t>
            </w:r>
          </w:p>
        </w:tc>
        <w:tc>
          <w:tcPr>
            <w:tcW w:w="960" w:type="dxa"/>
            <w:tcBorders>
              <w:top w:val="single" w:sz="4" w:space="0" w:color="auto"/>
            </w:tcBorders>
            <w:noWrap/>
            <w:vAlign w:val="center"/>
            <w:hideMark/>
          </w:tcPr>
          <w:p w14:paraId="063348B5"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1.745</w:t>
            </w:r>
          </w:p>
        </w:tc>
        <w:tc>
          <w:tcPr>
            <w:tcW w:w="960" w:type="dxa"/>
            <w:tcBorders>
              <w:top w:val="single" w:sz="4" w:space="0" w:color="auto"/>
            </w:tcBorders>
            <w:noWrap/>
            <w:vAlign w:val="center"/>
            <w:hideMark/>
          </w:tcPr>
          <w:p w14:paraId="787908CA"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5.170</w:t>
            </w:r>
          </w:p>
        </w:tc>
      </w:tr>
      <w:tr w:rsidR="000927FF" w:rsidRPr="000E6E29" w14:paraId="51B73455" w14:textId="77777777" w:rsidTr="00F75798">
        <w:trPr>
          <w:trHeight w:val="300"/>
          <w:jc w:val="center"/>
        </w:trPr>
        <w:tc>
          <w:tcPr>
            <w:tcW w:w="4244" w:type="dxa"/>
            <w:noWrap/>
            <w:hideMark/>
          </w:tcPr>
          <w:p w14:paraId="4E1A3B7C" w14:textId="77777777" w:rsidR="000927FF" w:rsidRPr="00DD1444" w:rsidRDefault="000927FF" w:rsidP="003B1BE9">
            <w:pPr>
              <w:spacing w:line="276" w:lineRule="auto"/>
              <w:jc w:val="both"/>
              <w:rPr>
                <w:rFonts w:ascii="Calibri" w:eastAsia="Calibri" w:hAnsi="Calibri" w:cs="Times New Roman"/>
                <w:color w:val="595959"/>
                <w:sz w:val="18"/>
                <w:szCs w:val="18"/>
              </w:rPr>
            </w:pPr>
            <w:r w:rsidRPr="00DD1444">
              <w:rPr>
                <w:rFonts w:ascii="Calibri" w:eastAsia="Calibri" w:hAnsi="Calibri" w:cs="Times New Roman"/>
                <w:color w:val="595959"/>
                <w:sz w:val="18"/>
                <w:szCs w:val="18"/>
                <w:lang w:val="en-US"/>
              </w:rPr>
              <w:t>Δαπ</w:t>
            </w:r>
            <w:proofErr w:type="spellStart"/>
            <w:r w:rsidRPr="00DD1444">
              <w:rPr>
                <w:rFonts w:ascii="Calibri" w:eastAsia="Calibri" w:hAnsi="Calibri" w:cs="Times New Roman"/>
                <w:color w:val="595959"/>
                <w:sz w:val="18"/>
                <w:szCs w:val="18"/>
                <w:lang w:val="en-US"/>
              </w:rPr>
              <w:t>άνες</w:t>
            </w:r>
            <w:proofErr w:type="spellEnd"/>
            <w:r w:rsidRPr="00DD1444">
              <w:rPr>
                <w:rFonts w:ascii="Calibri" w:eastAsia="Calibri" w:hAnsi="Calibri" w:cs="Times New Roman"/>
                <w:color w:val="595959"/>
                <w:sz w:val="18"/>
                <w:szCs w:val="18"/>
              </w:rPr>
              <w:t xml:space="preserve"> (πλην επιστρεπτέας προκαταβολής)</w:t>
            </w:r>
          </w:p>
        </w:tc>
        <w:tc>
          <w:tcPr>
            <w:tcW w:w="960" w:type="dxa"/>
            <w:noWrap/>
            <w:vAlign w:val="center"/>
            <w:hideMark/>
          </w:tcPr>
          <w:p w14:paraId="5F68D053"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5.907</w:t>
            </w:r>
          </w:p>
        </w:tc>
        <w:tc>
          <w:tcPr>
            <w:tcW w:w="960" w:type="dxa"/>
            <w:noWrap/>
            <w:vAlign w:val="center"/>
            <w:hideMark/>
          </w:tcPr>
          <w:p w14:paraId="530CD68B"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5.598</w:t>
            </w:r>
          </w:p>
        </w:tc>
        <w:tc>
          <w:tcPr>
            <w:tcW w:w="960" w:type="dxa"/>
            <w:noWrap/>
            <w:vAlign w:val="center"/>
            <w:hideMark/>
          </w:tcPr>
          <w:p w14:paraId="2E8F7CE5"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11.505</w:t>
            </w:r>
          </w:p>
        </w:tc>
      </w:tr>
      <w:tr w:rsidR="000927FF" w:rsidRPr="000E6E29" w14:paraId="3FBBA88A" w14:textId="77777777" w:rsidTr="00F75798">
        <w:trPr>
          <w:trHeight w:val="300"/>
          <w:jc w:val="center"/>
        </w:trPr>
        <w:tc>
          <w:tcPr>
            <w:tcW w:w="4244" w:type="dxa"/>
            <w:tcBorders>
              <w:bottom w:val="single" w:sz="4" w:space="0" w:color="auto"/>
            </w:tcBorders>
            <w:noWrap/>
            <w:hideMark/>
          </w:tcPr>
          <w:p w14:paraId="7C5F843B" w14:textId="77777777" w:rsidR="000927FF" w:rsidRPr="00DD1444" w:rsidRDefault="000927FF" w:rsidP="003B1BE9">
            <w:pPr>
              <w:spacing w:line="276" w:lineRule="auto"/>
              <w:jc w:val="both"/>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Επ</w:t>
            </w:r>
            <w:proofErr w:type="spellStart"/>
            <w:r w:rsidRPr="00DD1444">
              <w:rPr>
                <w:rFonts w:ascii="Calibri" w:eastAsia="Calibri" w:hAnsi="Calibri" w:cs="Times New Roman"/>
                <w:color w:val="595959"/>
                <w:sz w:val="18"/>
                <w:szCs w:val="18"/>
                <w:lang w:val="en-US"/>
              </w:rPr>
              <w:t>ιστρε</w:t>
            </w:r>
            <w:proofErr w:type="spellEnd"/>
            <w:r w:rsidRPr="00DD1444">
              <w:rPr>
                <w:rFonts w:ascii="Calibri" w:eastAsia="Calibri" w:hAnsi="Calibri" w:cs="Times New Roman"/>
                <w:color w:val="595959"/>
                <w:sz w:val="18"/>
                <w:szCs w:val="18"/>
                <w:lang w:val="en-US"/>
              </w:rPr>
              <w:t>πτέα π</w:t>
            </w:r>
            <w:proofErr w:type="spellStart"/>
            <w:r w:rsidRPr="00DD1444">
              <w:rPr>
                <w:rFonts w:ascii="Calibri" w:eastAsia="Calibri" w:hAnsi="Calibri" w:cs="Times New Roman"/>
                <w:color w:val="595959"/>
                <w:sz w:val="18"/>
                <w:szCs w:val="18"/>
                <w:lang w:val="en-US"/>
              </w:rPr>
              <w:t>ροκ</w:t>
            </w:r>
            <w:proofErr w:type="spellEnd"/>
            <w:r w:rsidRPr="00DD1444">
              <w:rPr>
                <w:rFonts w:ascii="Calibri" w:eastAsia="Calibri" w:hAnsi="Calibri" w:cs="Times New Roman"/>
                <w:color w:val="595959"/>
                <w:sz w:val="18"/>
                <w:szCs w:val="18"/>
                <w:lang w:val="en-US"/>
              </w:rPr>
              <w:t>αταβολή</w:t>
            </w:r>
          </w:p>
        </w:tc>
        <w:tc>
          <w:tcPr>
            <w:tcW w:w="960" w:type="dxa"/>
            <w:tcBorders>
              <w:bottom w:val="single" w:sz="4" w:space="0" w:color="auto"/>
            </w:tcBorders>
            <w:noWrap/>
            <w:vAlign w:val="center"/>
            <w:hideMark/>
          </w:tcPr>
          <w:p w14:paraId="7760C617"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5.540</w:t>
            </w:r>
          </w:p>
        </w:tc>
        <w:tc>
          <w:tcPr>
            <w:tcW w:w="960" w:type="dxa"/>
            <w:tcBorders>
              <w:bottom w:val="single" w:sz="4" w:space="0" w:color="auto"/>
            </w:tcBorders>
            <w:noWrap/>
            <w:vAlign w:val="center"/>
            <w:hideMark/>
          </w:tcPr>
          <w:p w14:paraId="569C4788"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2.726</w:t>
            </w:r>
          </w:p>
        </w:tc>
        <w:tc>
          <w:tcPr>
            <w:tcW w:w="960" w:type="dxa"/>
            <w:tcBorders>
              <w:bottom w:val="single" w:sz="4" w:space="0" w:color="auto"/>
            </w:tcBorders>
            <w:noWrap/>
            <w:vAlign w:val="center"/>
            <w:hideMark/>
          </w:tcPr>
          <w:p w14:paraId="44710AE4" w14:textId="77777777" w:rsidR="000927FF" w:rsidRPr="00DD1444" w:rsidRDefault="000927FF" w:rsidP="003B1BE9">
            <w:pPr>
              <w:spacing w:line="276" w:lineRule="auto"/>
              <w:jc w:val="center"/>
              <w:rPr>
                <w:rFonts w:ascii="Calibri" w:eastAsia="Calibri" w:hAnsi="Calibri" w:cs="Times New Roman"/>
                <w:color w:val="595959"/>
                <w:sz w:val="18"/>
                <w:szCs w:val="18"/>
                <w:lang w:val="en-US"/>
              </w:rPr>
            </w:pPr>
            <w:r w:rsidRPr="00DD1444">
              <w:rPr>
                <w:rFonts w:ascii="Calibri" w:eastAsia="Calibri" w:hAnsi="Calibri" w:cs="Times New Roman"/>
                <w:color w:val="595959"/>
                <w:sz w:val="18"/>
                <w:szCs w:val="18"/>
                <w:lang w:val="en-US"/>
              </w:rPr>
              <w:t>8.266</w:t>
            </w:r>
          </w:p>
        </w:tc>
      </w:tr>
      <w:tr w:rsidR="000927FF" w:rsidRPr="000E6E29" w14:paraId="71B15DF9" w14:textId="77777777" w:rsidTr="00F75798">
        <w:trPr>
          <w:trHeight w:val="300"/>
          <w:jc w:val="center"/>
        </w:trPr>
        <w:tc>
          <w:tcPr>
            <w:tcW w:w="4244" w:type="dxa"/>
            <w:tcBorders>
              <w:top w:val="single" w:sz="4" w:space="0" w:color="auto"/>
            </w:tcBorders>
            <w:noWrap/>
            <w:hideMark/>
          </w:tcPr>
          <w:p w14:paraId="1D3D9C90"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proofErr w:type="spellStart"/>
            <w:r w:rsidRPr="00DD1444">
              <w:rPr>
                <w:rFonts w:ascii="Calibri" w:eastAsia="Calibri" w:hAnsi="Calibri" w:cs="Times New Roman"/>
                <w:b/>
                <w:color w:val="595959"/>
                <w:sz w:val="18"/>
                <w:szCs w:val="18"/>
                <w:lang w:val="en-US"/>
              </w:rPr>
              <w:t>Σύνολο</w:t>
            </w:r>
            <w:proofErr w:type="spellEnd"/>
          </w:p>
        </w:tc>
        <w:tc>
          <w:tcPr>
            <w:tcW w:w="960" w:type="dxa"/>
            <w:tcBorders>
              <w:top w:val="single" w:sz="4" w:space="0" w:color="auto"/>
            </w:tcBorders>
            <w:noWrap/>
            <w:vAlign w:val="center"/>
            <w:hideMark/>
          </w:tcPr>
          <w:p w14:paraId="5FABFF67"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14.871</w:t>
            </w:r>
          </w:p>
        </w:tc>
        <w:tc>
          <w:tcPr>
            <w:tcW w:w="960" w:type="dxa"/>
            <w:tcBorders>
              <w:top w:val="single" w:sz="4" w:space="0" w:color="auto"/>
            </w:tcBorders>
            <w:noWrap/>
            <w:vAlign w:val="center"/>
            <w:hideMark/>
          </w:tcPr>
          <w:p w14:paraId="6471EA02"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10.069</w:t>
            </w:r>
          </w:p>
        </w:tc>
        <w:tc>
          <w:tcPr>
            <w:tcW w:w="960" w:type="dxa"/>
            <w:tcBorders>
              <w:top w:val="single" w:sz="4" w:space="0" w:color="auto"/>
            </w:tcBorders>
            <w:noWrap/>
            <w:vAlign w:val="center"/>
            <w:hideMark/>
          </w:tcPr>
          <w:p w14:paraId="012B3588" w14:textId="77777777" w:rsidR="000927FF" w:rsidRPr="00DD1444" w:rsidRDefault="000927FF" w:rsidP="003B1BE9">
            <w:pPr>
              <w:spacing w:line="276" w:lineRule="auto"/>
              <w:jc w:val="center"/>
              <w:rPr>
                <w:rFonts w:ascii="Calibri" w:eastAsia="Calibri" w:hAnsi="Calibri" w:cs="Times New Roman"/>
                <w:b/>
                <w:color w:val="595959"/>
                <w:sz w:val="18"/>
                <w:szCs w:val="18"/>
                <w:lang w:val="en-US"/>
              </w:rPr>
            </w:pPr>
            <w:r w:rsidRPr="00DD1444">
              <w:rPr>
                <w:rFonts w:ascii="Calibri" w:eastAsia="Calibri" w:hAnsi="Calibri" w:cs="Times New Roman"/>
                <w:b/>
                <w:color w:val="595959"/>
                <w:sz w:val="18"/>
                <w:szCs w:val="18"/>
                <w:lang w:val="en-US"/>
              </w:rPr>
              <w:t>24.941</w:t>
            </w:r>
          </w:p>
        </w:tc>
      </w:tr>
    </w:tbl>
    <w:p w14:paraId="3C6F02CF" w14:textId="77777777" w:rsidR="000927FF" w:rsidRPr="000E6E29" w:rsidRDefault="000927FF" w:rsidP="003B1BE9">
      <w:pPr>
        <w:spacing w:after="0" w:line="276" w:lineRule="auto"/>
        <w:jc w:val="both"/>
        <w:rPr>
          <w:rFonts w:ascii="Calibri" w:eastAsia="Calibri" w:hAnsi="Calibri" w:cs="Times New Roman"/>
          <w:color w:val="595959"/>
        </w:rPr>
      </w:pPr>
    </w:p>
    <w:p w14:paraId="09CB8D0E" w14:textId="77777777" w:rsidR="000927FF" w:rsidRPr="000E6E29" w:rsidRDefault="000927FF" w:rsidP="003B1BE9">
      <w:pPr>
        <w:spacing w:after="0" w:line="276" w:lineRule="auto"/>
        <w:jc w:val="both"/>
        <w:rPr>
          <w:rFonts w:ascii="Calibri" w:eastAsia="Calibri" w:hAnsi="Calibri" w:cs="Times New Roman"/>
          <w:color w:val="595959"/>
        </w:rPr>
      </w:pPr>
      <w:r w:rsidRPr="000E6E29">
        <w:rPr>
          <w:rFonts w:ascii="Calibri" w:eastAsia="Calibri" w:hAnsi="Calibri" w:cs="Times New Roman"/>
          <w:color w:val="595959"/>
        </w:rPr>
        <w:t>Οι παρεμβάσεις είναι εξολοκλήρου μεταβιβάσεις και απαλλαγές ή αναστολές φορολογικών και ασφαλιστικών υποχρεώσεων.</w:t>
      </w:r>
      <w:r w:rsidR="00EA67D0">
        <w:rPr>
          <w:rFonts w:ascii="Calibri" w:eastAsia="Calibri" w:hAnsi="Calibri" w:cs="Times New Roman"/>
          <w:color w:val="595959"/>
        </w:rPr>
        <w:t xml:space="preserve"> </w:t>
      </w:r>
      <w:r w:rsidRPr="000E6E29">
        <w:rPr>
          <w:rFonts w:ascii="Calibri" w:eastAsia="Calibri" w:hAnsi="Calibri" w:cs="Times New Roman"/>
          <w:color w:val="595959"/>
        </w:rPr>
        <w:t xml:space="preserve">Οι δαπάνες που μπορούν να θεωρηθούν δημόσια κατανάλωση, δηλαδή αγορές αγαθών και υπηρεσιών, περιορίζονται στα μόλις 703 εκατ. ευρώ για το 2020 και 546 εκατ. ευρώ το 2021 (περιλαμβάνουν τις επιπλέον λειτουργικές δαπάνες του συστήματος υγείας, τις προσλήψεις υγειονομικού προσωπικού και τις έκτακτες δαπάνες σχετιζόμενες με τον </w:t>
      </w:r>
      <w:r w:rsidRPr="000E6E29">
        <w:rPr>
          <w:rFonts w:ascii="Calibri" w:eastAsia="Calibri" w:hAnsi="Calibri" w:cs="Times New Roman"/>
          <w:color w:val="595959"/>
          <w:lang w:val="en-US"/>
        </w:rPr>
        <w:t>COVID</w:t>
      </w:r>
      <w:r w:rsidRPr="000E6E29">
        <w:rPr>
          <w:rFonts w:ascii="Calibri" w:eastAsia="Calibri" w:hAnsi="Calibri" w:cs="Times New Roman"/>
          <w:color w:val="595959"/>
        </w:rPr>
        <w:t xml:space="preserve"> στα </w:t>
      </w:r>
      <w:r w:rsidR="0015494B">
        <w:rPr>
          <w:rFonts w:ascii="Calibri" w:eastAsia="Calibri" w:hAnsi="Calibri" w:cs="Times New Roman"/>
          <w:color w:val="595959"/>
        </w:rPr>
        <w:t>υπόλοιπα</w:t>
      </w:r>
      <w:r w:rsidRPr="000E6E29">
        <w:rPr>
          <w:rFonts w:ascii="Calibri" w:eastAsia="Calibri" w:hAnsi="Calibri" w:cs="Times New Roman"/>
          <w:color w:val="595959"/>
        </w:rPr>
        <w:t xml:space="preserve"> Υπουργεία). </w:t>
      </w:r>
    </w:p>
    <w:p w14:paraId="60EEFAFF" w14:textId="77777777" w:rsidR="000927FF" w:rsidRDefault="000927FF" w:rsidP="003B1BE9">
      <w:pPr>
        <w:spacing w:before="240" w:line="276" w:lineRule="auto"/>
        <w:jc w:val="both"/>
        <w:rPr>
          <w:rFonts w:ascii="Calibri" w:eastAsia="Calibri" w:hAnsi="Calibri" w:cs="Times New Roman"/>
          <w:color w:val="595959"/>
        </w:rPr>
      </w:pPr>
      <w:r w:rsidRPr="000E6E29">
        <w:rPr>
          <w:rFonts w:ascii="Calibri" w:eastAsia="Calibri" w:hAnsi="Calibri" w:cs="Times New Roman"/>
          <w:color w:val="595959"/>
        </w:rPr>
        <w:t>Σύμφωνα με την πρόβλεψη του Γραφείου Προϋπολογισμού του Κράτους στη Βουλή</w:t>
      </w:r>
      <w:r w:rsidR="009C6A0F">
        <w:rPr>
          <w:rFonts w:ascii="Calibri" w:eastAsia="Calibri" w:hAnsi="Calibri" w:cs="Times New Roman"/>
          <w:color w:val="595959"/>
        </w:rPr>
        <w:t>,</w:t>
      </w:r>
      <w:r w:rsidRPr="000E6E29">
        <w:rPr>
          <w:rFonts w:ascii="Calibri" w:eastAsia="Calibri" w:hAnsi="Calibri" w:cs="Times New Roman"/>
          <w:color w:val="595959"/>
        </w:rPr>
        <w:t xml:space="preserve"> ο ετήσιος πραγματικός ρυθμός μεγέθυνσης του συνολικού ΑΕΠ για το 2021 θα είναι 2,7%. Στο πρώτο τρίμηνο ο ρυθμός μεγέθυνσης θα είναι αρνητικός και θα γίνει θετικός από το δεύτερο τρίμηνο και μετά. Οι βασικές συνιστώσες που θα διαμορφώσουν την εξέλιξη του συνολικού ΑΕΠ είναι η κατανάλωση (δημόσια και ιδιωτική) και οι καθαρές εξαγωγές αγαθών και υπηρεσιών (διαφορά εξαγωγών από εισαγωγές). Η συνολική κατανάλωση κατέγραψε μεγάλη πτώση το δεύτερο τρίμηνο του 2020 και, παρά τη σημαντική αύξησή της στο τρίτο, παρουσίασε ξανά πτωτική τάση στο τέταρτο τρίμηνο που αναμένεται να συνεχιστεί και στο πρώτο τρίμηνο του 2021. Από το τρίτο τρίμηνο του 2021 θα αρχίσει να ανακάμπτει, παραμένοντας ωστόσο σε χαμηλότερο επίπεδο από εκείνο που βρίσκονταν πριν την πανδημία. Η πορεία αυτή καθοδηγείται κυρίως από τις επιπτώσεις των περιοριστικών μέτρων και την προληπτική αποταμίευση, αν και η αύξηση της δημόσιας κατανάλωσης στο δεύτερο και τρίτο τρίμηνο του 2020 έπαιξε κάποιον μικρό θετικό ρόλο.</w:t>
      </w:r>
      <w:r w:rsidR="00F47B7D">
        <w:rPr>
          <w:rFonts w:ascii="Calibri" w:eastAsia="Calibri" w:hAnsi="Calibri" w:cs="Times New Roman"/>
          <w:color w:val="595959"/>
        </w:rPr>
        <w:t xml:space="preserve"> </w:t>
      </w:r>
      <w:r w:rsidRPr="000E6E29">
        <w:rPr>
          <w:rFonts w:ascii="Calibri" w:eastAsia="Calibri" w:hAnsi="Calibri" w:cs="Times New Roman"/>
          <w:color w:val="595959"/>
        </w:rPr>
        <w:t>Οι εξαγωγές, από την άλλη, ήταν η συνιστώσα που κατέγραψε τις μεγαλύτερες απώλειες το 2020 και στην οποία οφείλεται κατά κύριο λόγο η ένταση της ύφεσης. Η σημαντική τους ανάκαμψη στο τέταρτο τρίμηνο βελτιώνει το σημείο εκκίνησης στο 2021 και, σε συνδυασμό με την αναμενόμενη μείωση των εισαγωγών, αναμένεται να έχει σημαντική θετική επίπτωση στο συνολικό ΑΕΠ του τρέχοντος έτους.</w:t>
      </w:r>
    </w:p>
    <w:p w14:paraId="4B1FE938" w14:textId="77777777" w:rsidR="009C6A0F"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color w:val="595959"/>
        </w:rPr>
        <w:t xml:space="preserve">Οι παραπάνω προβλέψεις στηρίζονται σε υποθέσεις που εμπεριέχουν μεγάλο βαθμό αβεβαιότητας που προέρχεται από τρεις πηγές. Η πρώτη και σημαντικότερη συνδέεται με την εξέλιξη της πανδημίας στη διάρκεια του έτους. Η βασική υπόθεση είναι πως οι </w:t>
      </w:r>
      <w:r w:rsidRPr="000E6E29">
        <w:rPr>
          <w:rFonts w:ascii="Calibri" w:eastAsia="Calibri" w:hAnsi="Calibri" w:cs="Times New Roman"/>
          <w:color w:val="595959"/>
        </w:rPr>
        <w:lastRenderedPageBreak/>
        <w:t>μακροοικονομικές μεταβλητές βρίσκονται σε διαδικασία επιστροφής στην ισορροπία από την αρχική διαταραχή του προηγούμενου έτους (δηλαδή</w:t>
      </w:r>
      <w:r w:rsidR="009C6A0F">
        <w:rPr>
          <w:rFonts w:ascii="Calibri" w:eastAsia="Calibri" w:hAnsi="Calibri" w:cs="Times New Roman"/>
          <w:color w:val="595959"/>
        </w:rPr>
        <w:t>, υποθέτουμε ότι</w:t>
      </w:r>
      <w:r w:rsidRPr="000E6E29">
        <w:rPr>
          <w:rFonts w:ascii="Calibri" w:eastAsia="Calibri" w:hAnsi="Calibri" w:cs="Times New Roman"/>
          <w:color w:val="595959"/>
        </w:rPr>
        <w:t xml:space="preserve"> δεν θα υπάρξει νέα διαταραχή στη διάρκεια του τρέχοντος έτους). Ωστόσο, η ταχύτητα πραγματοποίησης των εμβολιασμών, η αποτελεσματικότητα του εμβολίου και η άρση των περιοριστικών μέτρων αποτελούν κρίσιμους παράγοντες για την πορεία τόσο της ιδιωτικής κατανάλωσης όσο και των εξαγωγών</w:t>
      </w:r>
      <w:r w:rsidR="00F5013C">
        <w:rPr>
          <w:rFonts w:ascii="Calibri" w:eastAsia="Calibri" w:hAnsi="Calibri" w:cs="Times New Roman"/>
          <w:color w:val="595959"/>
        </w:rPr>
        <w:t xml:space="preserve"> αγαθών και </w:t>
      </w:r>
      <w:r w:rsidR="00270182">
        <w:rPr>
          <w:rFonts w:ascii="Calibri" w:eastAsia="Calibri" w:hAnsi="Calibri" w:cs="Times New Roman"/>
          <w:color w:val="595959"/>
        </w:rPr>
        <w:t>υπηρεσιών</w:t>
      </w:r>
      <w:r w:rsidRPr="000E6E29">
        <w:rPr>
          <w:rFonts w:ascii="Calibri" w:eastAsia="Calibri" w:hAnsi="Calibri" w:cs="Times New Roman"/>
          <w:color w:val="595959"/>
        </w:rPr>
        <w:t xml:space="preserve">. </w:t>
      </w:r>
    </w:p>
    <w:p w14:paraId="2242E85B" w14:textId="77777777" w:rsidR="009C6A0F"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color w:val="595959"/>
        </w:rPr>
        <w:t>Μια δεύτερη αβεβαιότητα προκύπτει από το χρονικό διάστημα που θα απαιτηθεί για την επαναφορά της οικονομικής δραστηριότητας στα επίπεδα</w:t>
      </w:r>
      <w:r w:rsidR="00F004C3">
        <w:rPr>
          <w:rFonts w:ascii="Calibri" w:eastAsia="Calibri" w:hAnsi="Calibri" w:cs="Times New Roman"/>
          <w:color w:val="595959"/>
        </w:rPr>
        <w:t xml:space="preserve"> </w:t>
      </w:r>
      <w:r w:rsidR="00D07545">
        <w:rPr>
          <w:rFonts w:ascii="Calibri" w:eastAsia="Calibri" w:hAnsi="Calibri" w:cs="Times New Roman"/>
          <w:color w:val="595959"/>
        </w:rPr>
        <w:t>που βρίσκονταν πριν την εμφάνιση της πανδημίας</w:t>
      </w:r>
      <w:r w:rsidRPr="000E6E29">
        <w:rPr>
          <w:rFonts w:ascii="Calibri" w:eastAsia="Calibri" w:hAnsi="Calibri" w:cs="Times New Roman"/>
          <w:color w:val="595959"/>
        </w:rPr>
        <w:t xml:space="preserve">. Σε βραχυπρόθεσμο ορίζοντα, δηλαδή σε όρους ζήτησης, αυτή η ταχύτητα θα επηρεάσει τους ρυθμούς ανάκαμψης της ελληνικής οικονομίας από το δεύτερο τρίμηνο και μετά. Μεσοπρόθεσμα ωστόσο, σε όρους προσφοράς, είναι αβέβαιο πόσες από τις επιχειρήσεις που παρέμειναν εκτός λειτουργίας για τόσο μεγάλο χρονικό διάστημα θα μπορέσουν να επαναλειτουργήσουν. Αυτή η τελευταία αβεβαιότητα, ίσως να μην αφορά τις προβλέψεις του τρέχοντος έτους, όμως θα καθορίσει τις μεσοπρόθεσμες αναπτυξιακές προοπτικές. </w:t>
      </w:r>
    </w:p>
    <w:p w14:paraId="7BD8AAD2" w14:textId="375ACCB1" w:rsidR="008A0F3F" w:rsidRPr="00DB4E6F" w:rsidRDefault="000927FF" w:rsidP="003B1BE9">
      <w:pPr>
        <w:spacing w:line="276" w:lineRule="auto"/>
        <w:jc w:val="both"/>
        <w:rPr>
          <w:rFonts w:ascii="Calibri" w:eastAsia="Calibri" w:hAnsi="Calibri" w:cs="Times New Roman"/>
          <w:color w:val="595959" w:themeColor="text1" w:themeTint="A6"/>
        </w:rPr>
      </w:pPr>
      <w:r w:rsidRPr="000E6E29">
        <w:rPr>
          <w:rFonts w:ascii="Calibri" w:eastAsia="Calibri" w:hAnsi="Calibri" w:cs="Times New Roman"/>
          <w:color w:val="595959"/>
        </w:rPr>
        <w:t xml:space="preserve">Μια τρίτη, τέλος, αβεβαιότητα προέρχεται από το ύψος των δημοσιονομικών παρεμβάσεων κατά το τρέχον έτος. Έχουμε ενσωματώσει μια αύξηση των μεταβιβάσεων στα 35 δις (από τα 30 που προβλέπει ο προϋπολογισμός) και εκτέλεση του Προγράμματος Δημοσίων Επενδύσεων σε ύψος 7,5 περίπου δις, με σκοπό να συμπεριλάβουμε την παράταση των ειδικών δημοσιονομικών παρεμβάσεων και την αξιοποίηση μέρους των 2,6 δις του Ταμείου Ανάκαμψης που προβλέπονται </w:t>
      </w:r>
      <w:r w:rsidR="00DB4E6F">
        <w:rPr>
          <w:rFonts w:ascii="Calibri" w:eastAsia="Calibri" w:hAnsi="Calibri" w:cs="Times New Roman"/>
          <w:color w:val="595959"/>
        </w:rPr>
        <w:t>στις δαπάνες του προϋπολογισμού</w:t>
      </w:r>
      <w:r w:rsidRPr="000E6E29">
        <w:rPr>
          <w:rFonts w:ascii="Calibri" w:eastAsia="Calibri" w:hAnsi="Calibri" w:cs="Times New Roman"/>
          <w:color w:val="595959"/>
        </w:rPr>
        <w:t>. Σημειώνουμε ωστόσο ότι αφενός η επίπτωση των μεταβιβάσεων είναι σχετικά μικρότερη από εκείνη των δημόσιων επενδύσεων ή της δημόσιας κατανάλωσης και αφετέρου ότι η επίπτωση του Ταμείου Ανάκαμψης εξαρτάται από το</w:t>
      </w:r>
      <w:r w:rsidR="000A66EE">
        <w:rPr>
          <w:rFonts w:ascii="Calibri" w:eastAsia="Calibri" w:hAnsi="Calibri" w:cs="Times New Roman"/>
          <w:color w:val="595959"/>
        </w:rPr>
        <w:t>ν</w:t>
      </w:r>
      <w:r w:rsidRPr="000E6E29">
        <w:rPr>
          <w:rFonts w:ascii="Calibri" w:eastAsia="Calibri" w:hAnsi="Calibri" w:cs="Times New Roman"/>
          <w:color w:val="595959"/>
        </w:rPr>
        <w:t xml:space="preserve"> βαθμό που θα αυξήσει τις δημόσιες </w:t>
      </w:r>
      <w:r w:rsidRPr="00DB4E6F">
        <w:rPr>
          <w:rFonts w:ascii="Calibri" w:eastAsia="Calibri" w:hAnsi="Calibri" w:cs="Times New Roman"/>
          <w:color w:val="595959" w:themeColor="text1" w:themeTint="A6"/>
        </w:rPr>
        <w:t>επενδύσεις πάνω από τα συνήθη τους επίπεδα και δεν θα</w:t>
      </w:r>
      <w:r w:rsidR="008A0F3F" w:rsidRPr="00DB4E6F">
        <w:rPr>
          <w:color w:val="595959" w:themeColor="text1" w:themeTint="A6"/>
        </w:rPr>
        <w:t xml:space="preserve"> υποκαταστήσει εγχώρια χρηματοδότηση μέσω του ΠΔΕ στην περίπτωση των επιχορηγήσεων και θα οδηγήσει σε αύξηση των ιδιωτικών επενδύσεων στην περίπτωση των δανείων.</w:t>
      </w:r>
    </w:p>
    <w:p w14:paraId="421E2A3B" w14:textId="77777777" w:rsidR="000927FF" w:rsidRPr="000E6E29"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color w:val="595959"/>
        </w:rPr>
        <w:t>Συμπληρωματικά προς το παραπάνω βασικό σενάριο, για ενδεικτικούς κυρίως λόγους, εκτιμάμε και το ενδεχόμενο μιας πρόσθετης δημοσιονομικής παρέμβασης της τάξης των 5 δις ευρώ που μπορεί να κατευθυνθεί είτε σε μεταβιβάσεις είτε σε δημόσια κατανάλωση. Στην πρώτη περίπτωση ο ρυθμός μεγέθυνσης του 2021 αυξάνεται κατά μία περίπου ποσοστιαία μονάδα και διαμορφώνεται σε 3,65%</w:t>
      </w:r>
      <w:r w:rsidR="009C6A0F">
        <w:rPr>
          <w:rFonts w:ascii="Calibri" w:eastAsia="Calibri" w:hAnsi="Calibri" w:cs="Times New Roman"/>
          <w:color w:val="595959"/>
        </w:rPr>
        <w:t>,</w:t>
      </w:r>
      <w:r w:rsidRPr="000E6E29">
        <w:rPr>
          <w:rFonts w:ascii="Calibri" w:eastAsia="Calibri" w:hAnsi="Calibri" w:cs="Times New Roman"/>
          <w:color w:val="595959"/>
        </w:rPr>
        <w:t xml:space="preserve"> ενώ στη δεύτερη περίπτωση η αύξηση του ρυθμού μεγέθυνσης ξεπερνάει τις δύο ποσοστιαίες μονάδες και γίνεται 4,84%. Οι σημαντικές διαφορές που παρουσιάζει ένα δεδομένο ύψος παρέμβασης ανάλογα με την χρήση του αναδεικνύει την άποψη που έχουμε εκφράσει επανειλημμένα από την αρχή της κρίσης ότι η δημοσιονομική επέκταση μέσω αγορών αγαθών και υπηρεσιών (δημόσια κατανάλωση ή δημόσια επένδυση) έχει σαφώς ισχυρότερη επίδραση στο συνολικό ΑΕΠ σε σχέση με την επέκταση μέσω μεταβιβάσεων και απαλλαγών από φορολογικές ή ασφαλιστικές υποχρεώσεις</w:t>
      </w:r>
      <w:r w:rsidR="00D07545">
        <w:rPr>
          <w:rFonts w:ascii="Calibri" w:eastAsia="Calibri" w:hAnsi="Calibri" w:cs="Times New Roman"/>
          <w:color w:val="595959"/>
        </w:rPr>
        <w:t>,</w:t>
      </w:r>
      <w:r w:rsidR="008A0F3F">
        <w:rPr>
          <w:rFonts w:ascii="Calibri" w:eastAsia="Calibri" w:hAnsi="Calibri" w:cs="Times New Roman"/>
          <w:color w:val="595959"/>
        </w:rPr>
        <w:t xml:space="preserve"> παρά τη θετική επίδραση αυτών των παρεμβάσεων στη συγκράτηση του ποσοστού ανεργίας το 2020</w:t>
      </w:r>
      <w:r w:rsidRPr="000E6E29">
        <w:rPr>
          <w:rFonts w:ascii="Calibri" w:eastAsia="Calibri" w:hAnsi="Calibri" w:cs="Times New Roman"/>
          <w:color w:val="595959"/>
        </w:rPr>
        <w:t xml:space="preserve">. </w:t>
      </w:r>
    </w:p>
    <w:p w14:paraId="31177D46" w14:textId="2D66C588" w:rsidR="000927FF" w:rsidRPr="000E6E29" w:rsidRDefault="000927FF" w:rsidP="003B1BE9">
      <w:pPr>
        <w:spacing w:after="0" w:line="276" w:lineRule="auto"/>
        <w:jc w:val="both"/>
        <w:rPr>
          <w:rFonts w:ascii="Calibri" w:eastAsia="Calibri" w:hAnsi="Calibri" w:cs="Times New Roman"/>
          <w:color w:val="595959"/>
        </w:rPr>
      </w:pPr>
      <w:r w:rsidRPr="000E6E29">
        <w:rPr>
          <w:rFonts w:ascii="Calibri" w:eastAsia="Calibri" w:hAnsi="Calibri" w:cs="Times New Roman"/>
          <w:color w:val="595959"/>
        </w:rPr>
        <w:t>Στα διαγράμματα που ακολουθούν φαίνονται τα τριμηνιαία επίπεδα του ΑΕΠ και των βασικών συνιστωσών σε εποχικά διορθωμένους όρους και σταθερές τιμές 2015.</w:t>
      </w:r>
    </w:p>
    <w:p w14:paraId="6D2DA7D7" w14:textId="0A4901CB" w:rsidR="00334368" w:rsidRDefault="00D960BC" w:rsidP="00D960BC">
      <w:pPr>
        <w:pStyle w:val="ae"/>
        <w:jc w:val="center"/>
      </w:pPr>
      <w:bookmarkStart w:id="33" w:name="_Toc67396692"/>
      <w:r>
        <w:lastRenderedPageBreak/>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2</w:t>
      </w:r>
      <w:r w:rsidR="0096217C">
        <w:rPr>
          <w:noProof/>
        </w:rPr>
        <w:fldChar w:fldCharType="end"/>
      </w:r>
      <w:r w:rsidR="00334368" w:rsidRPr="00334368">
        <w:t xml:space="preserve"> </w:t>
      </w:r>
      <w:r w:rsidR="004D4500">
        <w:t>Τ</w:t>
      </w:r>
      <w:r w:rsidR="00334368" w:rsidRPr="00334368">
        <w:t>ριμηνιαία επίπεδα του ΑΕΠ και των βασικών συνιστωσών σε εποχικά διορθωμένους όρους και σταθερές τιμές 2015</w:t>
      </w:r>
      <w:bookmarkEnd w:id="33"/>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063"/>
      </w:tblGrid>
      <w:tr w:rsidR="009D66A4" w:rsidRPr="000E6E29" w14:paraId="37F8C2D9" w14:textId="77777777" w:rsidTr="00DD1444">
        <w:tc>
          <w:tcPr>
            <w:tcW w:w="4206" w:type="dxa"/>
          </w:tcPr>
          <w:p w14:paraId="0B8CD2E7" w14:textId="77777777" w:rsidR="000927FF" w:rsidRPr="000E6E29" w:rsidRDefault="000927FF" w:rsidP="003B1BE9">
            <w:pPr>
              <w:spacing w:line="276" w:lineRule="auto"/>
              <w:jc w:val="both"/>
              <w:rPr>
                <w:rFonts w:ascii="Calibri" w:eastAsia="Calibri" w:hAnsi="Calibri" w:cs="Times New Roman"/>
                <w:color w:val="595959"/>
              </w:rPr>
            </w:pPr>
          </w:p>
        </w:tc>
        <w:tc>
          <w:tcPr>
            <w:tcW w:w="4100" w:type="dxa"/>
          </w:tcPr>
          <w:p w14:paraId="34839BB2" w14:textId="77777777" w:rsidR="000927FF" w:rsidRPr="000E6E29" w:rsidRDefault="000927FF" w:rsidP="003B1BE9">
            <w:pPr>
              <w:spacing w:line="276" w:lineRule="auto"/>
              <w:jc w:val="both"/>
              <w:rPr>
                <w:rFonts w:ascii="Calibri" w:eastAsia="Calibri" w:hAnsi="Calibri" w:cs="Times New Roman"/>
                <w:color w:val="595959"/>
              </w:rPr>
            </w:pPr>
          </w:p>
        </w:tc>
      </w:tr>
      <w:tr w:rsidR="009D66A4" w:rsidRPr="000E6E29" w14:paraId="24EF2CA2" w14:textId="77777777" w:rsidTr="00DD1444">
        <w:tc>
          <w:tcPr>
            <w:tcW w:w="4206" w:type="dxa"/>
          </w:tcPr>
          <w:p w14:paraId="5D57C7BC" w14:textId="77777777" w:rsidR="000927FF" w:rsidRPr="000E6E29"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noProof/>
                <w:color w:val="595959"/>
                <w:lang w:eastAsia="el-GR"/>
              </w:rPr>
              <w:drawing>
                <wp:inline distT="0" distB="0" distL="0" distR="0" wp14:anchorId="20B4B70B" wp14:editId="4FDED2BF">
                  <wp:extent cx="2592070" cy="1764665"/>
                  <wp:effectExtent l="0" t="0" r="0" b="6985"/>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6249" cy="1794742"/>
                          </a:xfrm>
                          <a:prstGeom prst="rect">
                            <a:avLst/>
                          </a:prstGeom>
                          <a:noFill/>
                        </pic:spPr>
                      </pic:pic>
                    </a:graphicData>
                  </a:graphic>
                </wp:inline>
              </w:drawing>
            </w:r>
          </w:p>
        </w:tc>
        <w:tc>
          <w:tcPr>
            <w:tcW w:w="4100" w:type="dxa"/>
          </w:tcPr>
          <w:p w14:paraId="0B966D63" w14:textId="77777777" w:rsidR="000927FF" w:rsidRPr="000E6E29"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noProof/>
                <w:color w:val="595959"/>
                <w:lang w:eastAsia="el-GR"/>
              </w:rPr>
              <w:drawing>
                <wp:inline distT="0" distB="0" distL="0" distR="0" wp14:anchorId="3247DA9B" wp14:editId="099A3165">
                  <wp:extent cx="2472855" cy="1765935"/>
                  <wp:effectExtent l="0" t="0" r="3810" b="571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3114" cy="1801827"/>
                          </a:xfrm>
                          <a:prstGeom prst="rect">
                            <a:avLst/>
                          </a:prstGeom>
                          <a:noFill/>
                        </pic:spPr>
                      </pic:pic>
                    </a:graphicData>
                  </a:graphic>
                </wp:inline>
              </w:drawing>
            </w:r>
          </w:p>
        </w:tc>
      </w:tr>
      <w:tr w:rsidR="009D66A4" w:rsidRPr="000E6E29" w14:paraId="516ECB62" w14:textId="77777777" w:rsidTr="00DD1444">
        <w:tc>
          <w:tcPr>
            <w:tcW w:w="4206" w:type="dxa"/>
          </w:tcPr>
          <w:p w14:paraId="06900923" w14:textId="77777777" w:rsidR="000927FF" w:rsidRPr="000E6E29"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noProof/>
                <w:color w:val="595959"/>
                <w:lang w:eastAsia="el-GR"/>
              </w:rPr>
              <w:drawing>
                <wp:inline distT="0" distB="0" distL="0" distR="0" wp14:anchorId="7B65B54C" wp14:editId="07E91B00">
                  <wp:extent cx="2592125" cy="1673812"/>
                  <wp:effectExtent l="0" t="0" r="0" b="3175"/>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2811" cy="1693627"/>
                          </a:xfrm>
                          <a:prstGeom prst="rect">
                            <a:avLst/>
                          </a:prstGeom>
                          <a:noFill/>
                        </pic:spPr>
                      </pic:pic>
                    </a:graphicData>
                  </a:graphic>
                </wp:inline>
              </w:drawing>
            </w:r>
          </w:p>
        </w:tc>
        <w:tc>
          <w:tcPr>
            <w:tcW w:w="4100" w:type="dxa"/>
          </w:tcPr>
          <w:p w14:paraId="5EBB45BA" w14:textId="77777777" w:rsidR="000927FF" w:rsidRPr="000E6E29" w:rsidRDefault="000927FF" w:rsidP="003B1BE9">
            <w:pPr>
              <w:spacing w:line="276" w:lineRule="auto"/>
              <w:jc w:val="both"/>
              <w:rPr>
                <w:rFonts w:ascii="Calibri" w:eastAsia="Calibri" w:hAnsi="Calibri" w:cs="Times New Roman"/>
                <w:color w:val="595959"/>
              </w:rPr>
            </w:pPr>
            <w:r w:rsidRPr="000E6E29">
              <w:rPr>
                <w:rFonts w:ascii="Calibri" w:eastAsia="Calibri" w:hAnsi="Calibri" w:cs="Times New Roman"/>
                <w:noProof/>
                <w:color w:val="595959"/>
                <w:lang w:eastAsia="el-GR"/>
              </w:rPr>
              <w:drawing>
                <wp:inline distT="0" distB="0" distL="0" distR="0" wp14:anchorId="14BD822E" wp14:editId="4537D482">
                  <wp:extent cx="2456953" cy="1701027"/>
                  <wp:effectExtent l="0" t="0" r="635"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5110" cy="1720521"/>
                          </a:xfrm>
                          <a:prstGeom prst="rect">
                            <a:avLst/>
                          </a:prstGeom>
                          <a:noFill/>
                        </pic:spPr>
                      </pic:pic>
                    </a:graphicData>
                  </a:graphic>
                </wp:inline>
              </w:drawing>
            </w:r>
          </w:p>
        </w:tc>
      </w:tr>
    </w:tbl>
    <w:p w14:paraId="227D4E23" w14:textId="77777777" w:rsidR="000927FF" w:rsidRDefault="000927FF" w:rsidP="003B1BE9">
      <w:pPr>
        <w:spacing w:after="0" w:line="276" w:lineRule="auto"/>
        <w:rPr>
          <w:rFonts w:ascii="Calibri" w:eastAsia="Times New Roman" w:hAnsi="Calibri" w:cs="Times New Roman"/>
          <w:color w:val="595959"/>
        </w:rPr>
      </w:pPr>
    </w:p>
    <w:p w14:paraId="3C2B5EE5" w14:textId="77777777" w:rsidR="00A26C0B" w:rsidRPr="00DD1444" w:rsidRDefault="008A0F3F" w:rsidP="003B1BE9">
      <w:pPr>
        <w:pStyle w:val="3"/>
        <w:spacing w:before="0" w:line="276" w:lineRule="auto"/>
        <w:rPr>
          <w:b w:val="0"/>
          <w:bCs w:val="0"/>
        </w:rPr>
      </w:pPr>
      <w:bookmarkStart w:id="34" w:name="_Toc67401898"/>
      <w:r w:rsidRPr="00DD1444">
        <w:t>Κίνδυνοι</w:t>
      </w:r>
      <w:bookmarkEnd w:id="34"/>
    </w:p>
    <w:p w14:paraId="66E44A49" w14:textId="77777777" w:rsidR="00A26C0B" w:rsidRPr="00B50CFA" w:rsidRDefault="00A26C0B" w:rsidP="003B1BE9">
      <w:pPr>
        <w:spacing w:after="0" w:line="276" w:lineRule="auto"/>
        <w:jc w:val="both"/>
        <w:rPr>
          <w:b/>
          <w:bCs/>
          <w:color w:val="595959"/>
        </w:rPr>
      </w:pPr>
    </w:p>
    <w:p w14:paraId="5F02BD37" w14:textId="77777777" w:rsidR="00A26C0B" w:rsidRPr="00575A7E" w:rsidRDefault="008A0F3F" w:rsidP="003B1BE9">
      <w:pPr>
        <w:spacing w:after="0" w:line="276" w:lineRule="auto"/>
        <w:jc w:val="both"/>
        <w:rPr>
          <w:color w:val="595959"/>
        </w:rPr>
      </w:pPr>
      <w:r w:rsidRPr="00575A7E">
        <w:rPr>
          <w:color w:val="595959"/>
        </w:rPr>
        <w:t xml:space="preserve">Οι κίνδυνοι για την εγχώρια οικονομία συνδέονται κυρίως με την εξέλιξη της πανδημίας. Οι εξελίξεις σχετικά με τη </w:t>
      </w:r>
      <w:r w:rsidRPr="00575A7E">
        <w:rPr>
          <w:rFonts w:ascii="Calibri" w:eastAsia="Calibri" w:hAnsi="Calibri" w:cs="Calibri"/>
          <w:color w:val="595959"/>
        </w:rPr>
        <w:t>διαδικασία του εμβολιασμού</w:t>
      </w:r>
      <w:r w:rsidRPr="00575A7E">
        <w:rPr>
          <w:color w:val="595959"/>
        </w:rPr>
        <w:t xml:space="preserve"> θα είναι κρίσιμες για την ανάκαμψη του τουρισμού και την ταχύτητα ανάκαμψης στον ιδιωτικό τομέα μετά τη λήξη των κυβερνητικών μέτρων στήριξης. Επιπλέον, οι γεωπολιτικές εντάσεις στην περιοχή και η μεταναστευτική κρίση προσθέτουν επιπλέον αβεβαιότητα. Από την άλλη πλευρά, αναμένεται να έχουν θετική επίδραση στην οικονομία τα κονδύλια που είναι διαθέσιμα για τη χώρα μας μέσα από το ταμείο ανάκαμψης </w:t>
      </w:r>
      <w:r w:rsidRPr="00575A7E">
        <w:rPr>
          <w:color w:val="595959"/>
          <w:lang w:val="en-US"/>
        </w:rPr>
        <w:t>Next</w:t>
      </w:r>
      <w:r w:rsidRPr="00575A7E">
        <w:rPr>
          <w:color w:val="595959"/>
        </w:rPr>
        <w:t xml:space="preserve"> </w:t>
      </w:r>
      <w:r w:rsidRPr="00575A7E">
        <w:rPr>
          <w:color w:val="595959"/>
          <w:lang w:val="en-US"/>
        </w:rPr>
        <w:t>Generation</w:t>
      </w:r>
      <w:r w:rsidRPr="00575A7E">
        <w:rPr>
          <w:color w:val="595959"/>
        </w:rPr>
        <w:t xml:space="preserve"> </w:t>
      </w:r>
      <w:r w:rsidRPr="00575A7E">
        <w:rPr>
          <w:color w:val="595959"/>
          <w:lang w:val="en-US"/>
        </w:rPr>
        <w:t>EU</w:t>
      </w:r>
      <w:r w:rsidRPr="00575A7E">
        <w:rPr>
          <w:color w:val="595959"/>
        </w:rPr>
        <w:t xml:space="preserve"> για την περίοδο 2021-2026, το οποίο θα μπορούσε να δώσει σημαντική ώθηση στην </w:t>
      </w:r>
      <w:r w:rsidR="00FF546F">
        <w:rPr>
          <w:color w:val="595959"/>
        </w:rPr>
        <w:t>οικονομική δραστηριότητα</w:t>
      </w:r>
      <w:r w:rsidRPr="00575A7E">
        <w:rPr>
          <w:color w:val="595959"/>
        </w:rPr>
        <w:t>.</w:t>
      </w:r>
    </w:p>
    <w:p w14:paraId="0721DA00" w14:textId="77777777" w:rsidR="00A26C0B" w:rsidRDefault="00A26C0B" w:rsidP="003B1BE9">
      <w:pPr>
        <w:spacing w:after="0" w:line="276" w:lineRule="auto"/>
        <w:jc w:val="both"/>
        <w:rPr>
          <w:rFonts w:ascii="Calibri" w:eastAsia="Times New Roman" w:hAnsi="Calibri" w:cs="Times New Roman"/>
          <w:b/>
          <w:bCs/>
          <w:color w:val="595959"/>
        </w:rPr>
      </w:pPr>
    </w:p>
    <w:p w14:paraId="38B4DE82" w14:textId="77777777" w:rsidR="00825DE1" w:rsidRDefault="00825DE1" w:rsidP="003B1BE9">
      <w:pPr>
        <w:pStyle w:val="3"/>
        <w:spacing w:before="0" w:line="276" w:lineRule="auto"/>
      </w:pPr>
      <w:bookmarkStart w:id="35" w:name="_Toc67401899"/>
      <w:r w:rsidRPr="00DD1444">
        <w:t xml:space="preserve">Προβλέψεις </w:t>
      </w:r>
      <w:r w:rsidR="00F5013C" w:rsidRPr="00DD1444">
        <w:t>Ευρωπαϊκής</w:t>
      </w:r>
      <w:r w:rsidRPr="00DD1444">
        <w:t xml:space="preserve"> Επιτροπής</w:t>
      </w:r>
      <w:bookmarkEnd w:id="35"/>
    </w:p>
    <w:p w14:paraId="0DC8F706" w14:textId="77777777" w:rsidR="00FF61B5" w:rsidRPr="00DD1444" w:rsidRDefault="00FF61B5" w:rsidP="003B1BE9">
      <w:pPr>
        <w:spacing w:after="0" w:line="276" w:lineRule="auto"/>
      </w:pPr>
    </w:p>
    <w:p w14:paraId="71B953D4" w14:textId="77777777" w:rsidR="00825DE1" w:rsidRPr="00575A7E" w:rsidRDefault="00825DE1" w:rsidP="003B1BE9">
      <w:pPr>
        <w:autoSpaceDE w:val="0"/>
        <w:autoSpaceDN w:val="0"/>
        <w:adjustRightInd w:val="0"/>
        <w:spacing w:line="276" w:lineRule="auto"/>
        <w:jc w:val="both"/>
        <w:rPr>
          <w:rFonts w:ascii="Calibri" w:eastAsia="Calibri" w:hAnsi="Calibri" w:cs="Calibri"/>
          <w:color w:val="595959"/>
        </w:rPr>
      </w:pPr>
      <w:r w:rsidRPr="00575A7E">
        <w:rPr>
          <w:rFonts w:ascii="Calibri" w:eastAsia="Calibri" w:hAnsi="Calibri" w:cs="Calibri"/>
          <w:color w:val="595959"/>
        </w:rPr>
        <w:t xml:space="preserve">Η Ευρωπαϊκή Επιτροπή στις </w:t>
      </w:r>
      <w:hyperlink r:id="rId41" w:history="1">
        <w:r w:rsidRPr="00575A7E">
          <w:rPr>
            <w:rStyle w:val="-"/>
            <w:rFonts w:ascii="Calibri" w:eastAsia="Calibri" w:hAnsi="Calibri" w:cs="Calibri"/>
            <w:color w:val="595959"/>
          </w:rPr>
          <w:t>Χειμερινές Προβλέψεις</w:t>
        </w:r>
      </w:hyperlink>
      <w:hyperlink r:id="rId42" w:history="1"/>
      <w:r w:rsidRPr="00575A7E">
        <w:rPr>
          <w:rFonts w:ascii="Calibri" w:eastAsia="Calibri" w:hAnsi="Calibri" w:cs="Calibri"/>
          <w:color w:val="595959"/>
        </w:rPr>
        <w:t xml:space="preserve"> (Φεβρουάριος 2021) αναθεώρησε την πρόβλεψη για το 2021 προς τα κάτω, αλλά αναθεώρησε προς τα πάνω τον ρυθμό μεγέθυνσης που θα σημειώσει το 2022. Συγκεκριμένα, ο ρυθμός μεγέθυνσης του 2021 προβλέπεται να είναι 3,5% (από 5,0% στις Φθινοπωρινές Προβλέψεις) και για το 2022 προβλέπεται μεγέθυνση 5,0% (από 3,5% στις Φθινοπωρινές Προβλέψεις). </w:t>
      </w:r>
    </w:p>
    <w:p w14:paraId="6DD1E420" w14:textId="77777777" w:rsidR="000E6E29" w:rsidRDefault="000E6E29" w:rsidP="003B1BE9">
      <w:pPr>
        <w:spacing w:after="0" w:line="276" w:lineRule="auto"/>
        <w:jc w:val="both"/>
        <w:rPr>
          <w:rFonts w:ascii="Calibri" w:eastAsia="Calibri" w:hAnsi="Calibri" w:cs="Times New Roman"/>
          <w:color w:val="595959"/>
        </w:rPr>
      </w:pPr>
    </w:p>
    <w:p w14:paraId="2829800F" w14:textId="77777777" w:rsidR="00807DA6" w:rsidRDefault="00825DE1" w:rsidP="003B1BE9">
      <w:pPr>
        <w:spacing w:after="0" w:line="276" w:lineRule="auto"/>
        <w:jc w:val="both"/>
        <w:rPr>
          <w:color w:val="595959"/>
        </w:rPr>
      </w:pPr>
      <w:r w:rsidRPr="00575A7E">
        <w:rPr>
          <w:rFonts w:ascii="Calibri" w:eastAsia="Calibri" w:hAnsi="Calibri" w:cs="Times New Roman"/>
          <w:color w:val="595959"/>
        </w:rPr>
        <w:t xml:space="preserve">Σύμφωνα με την </w:t>
      </w:r>
      <w:hyperlink r:id="rId43" w:history="1">
        <w:r w:rsidRPr="00575A7E">
          <w:rPr>
            <w:rStyle w:val="-"/>
            <w:color w:val="595959"/>
          </w:rPr>
          <w:t>Έκθεση Ενισχυμένης επιτήρησης</w:t>
        </w:r>
      </w:hyperlink>
      <w:r w:rsidRPr="00575A7E">
        <w:rPr>
          <w:color w:val="595959"/>
        </w:rPr>
        <w:t xml:space="preserve"> για την Ελλάδα (Φεβρουάριος 2021</w:t>
      </w:r>
      <w:r>
        <w:rPr>
          <w:color w:val="595959"/>
        </w:rPr>
        <w:t>)</w:t>
      </w:r>
      <w:r w:rsidR="0032120C">
        <w:rPr>
          <w:color w:val="595959"/>
        </w:rPr>
        <w:t>,</w:t>
      </w:r>
      <w:r w:rsidR="00D62CFB">
        <w:rPr>
          <w:color w:val="595959"/>
        </w:rPr>
        <w:t xml:space="preserve"> </w:t>
      </w:r>
      <w:r>
        <w:rPr>
          <w:color w:val="595959"/>
        </w:rPr>
        <w:t>η</w:t>
      </w:r>
      <w:r w:rsidRPr="00575A7E">
        <w:rPr>
          <w:rFonts w:ascii="Calibri" w:eastAsia="Calibri" w:hAnsi="Calibri" w:cs="Times New Roman"/>
          <w:color w:val="595959"/>
        </w:rPr>
        <w:t xml:space="preserve"> πτώση της τουριστικής </w:t>
      </w:r>
      <w:r>
        <w:rPr>
          <w:rFonts w:ascii="Calibri" w:eastAsia="Calibri" w:hAnsi="Calibri" w:cs="Times New Roman"/>
          <w:color w:val="595959"/>
        </w:rPr>
        <w:t>κίνησης</w:t>
      </w:r>
      <w:r w:rsidRPr="00575A7E">
        <w:rPr>
          <w:rFonts w:ascii="Calibri" w:eastAsia="Calibri" w:hAnsi="Calibri" w:cs="Times New Roman"/>
          <w:color w:val="595959"/>
        </w:rPr>
        <w:t xml:space="preserve"> το 2020 λόγω της πανδημίας επηρέασε </w:t>
      </w:r>
      <w:r>
        <w:rPr>
          <w:rFonts w:ascii="Calibri" w:eastAsia="Calibri" w:hAnsi="Calibri" w:cs="Times New Roman"/>
          <w:color w:val="595959"/>
        </w:rPr>
        <w:t xml:space="preserve">ιδιαίτερα </w:t>
      </w:r>
      <w:r w:rsidRPr="00575A7E">
        <w:rPr>
          <w:rFonts w:ascii="Calibri" w:eastAsia="Calibri" w:hAnsi="Calibri" w:cs="Times New Roman"/>
          <w:color w:val="595959"/>
        </w:rPr>
        <w:t xml:space="preserve">αρνητικά </w:t>
      </w:r>
      <w:r w:rsidRPr="00575A7E">
        <w:rPr>
          <w:rFonts w:ascii="Calibri" w:eastAsia="Calibri" w:hAnsi="Calibri" w:cs="Times New Roman"/>
          <w:color w:val="595959"/>
        </w:rPr>
        <w:lastRenderedPageBreak/>
        <w:t xml:space="preserve">την </w:t>
      </w:r>
      <w:r w:rsidR="00D62CFB">
        <w:rPr>
          <w:rFonts w:ascii="Calibri" w:eastAsia="Calibri" w:hAnsi="Calibri" w:cs="Times New Roman"/>
          <w:color w:val="595959"/>
        </w:rPr>
        <w:t>ελληνική οικονομία</w:t>
      </w:r>
      <w:r w:rsidRPr="00575A7E">
        <w:rPr>
          <w:rFonts w:ascii="Calibri" w:eastAsia="Calibri" w:hAnsi="Calibri" w:cs="Times New Roman"/>
          <w:color w:val="595959"/>
        </w:rPr>
        <w:t xml:space="preserve"> δεδομένου του βάρους του τουριστικού τομέα. Μέχρι στιγμής, τα μέτρα προστασίας της απασχόλησης, που υποστηρίζονται από την ΕΕ, ιδίως μέσω του νέου χρηματοδοτικού μέσου για την προσωρινή στήριξη για τον μετριασμό των κινδύνων ανεργίας σε περίπτωση έκτακτης ανάγκης (SURE) και του Ευρωπαϊκού Κοινωνικού Ταμείου, φαίνεται να ήταν αποτελεσματικά και το ποσοστό ανεργίας παρέμεινε σε γενικές γραμμές σταθερό παρά τη σημαντική οικονομική συρρίκνωση. Ωστόσο, ο αριθμός των ατόμων </w:t>
      </w:r>
      <w:r w:rsidR="0032120C">
        <w:rPr>
          <w:rFonts w:ascii="Calibri" w:eastAsia="Calibri" w:hAnsi="Calibri" w:cs="Times New Roman"/>
          <w:color w:val="595959"/>
        </w:rPr>
        <w:t>εκτός εργασίας</w:t>
      </w:r>
      <w:r w:rsidRPr="00575A7E">
        <w:rPr>
          <w:rFonts w:ascii="Calibri" w:eastAsia="Calibri" w:hAnsi="Calibri" w:cs="Times New Roman"/>
          <w:color w:val="595959"/>
        </w:rPr>
        <w:t xml:space="preserve"> αυξάνεται καθώς η πρόσληψη νέων εργαζομένων παραμένει συγκρατημένη. Το πλήρες μέγεθος της πρόκλησης που αντιμετωπίζουν οι επιχειρήσεις και ο χρηματοπιστωτικός τομέας</w:t>
      </w:r>
      <w:r w:rsidR="0032120C">
        <w:rPr>
          <w:rFonts w:ascii="Calibri" w:eastAsia="Calibri" w:hAnsi="Calibri" w:cs="Times New Roman"/>
          <w:color w:val="595959"/>
        </w:rPr>
        <w:t xml:space="preserve"> </w:t>
      </w:r>
      <w:r w:rsidRPr="00575A7E">
        <w:rPr>
          <w:rFonts w:ascii="Calibri" w:eastAsia="Calibri" w:hAnsi="Calibri" w:cs="Times New Roman"/>
          <w:color w:val="595959"/>
        </w:rPr>
        <w:t>αναμένεται να γίνει εμφαν</w:t>
      </w:r>
      <w:r w:rsidR="00807DA6">
        <w:rPr>
          <w:rFonts w:ascii="Calibri" w:eastAsia="Calibri" w:hAnsi="Calibri" w:cs="Times New Roman"/>
          <w:color w:val="595959"/>
        </w:rPr>
        <w:t>ές</w:t>
      </w:r>
      <w:r w:rsidRPr="00575A7E">
        <w:rPr>
          <w:rFonts w:ascii="Calibri" w:eastAsia="Calibri" w:hAnsi="Calibri" w:cs="Times New Roman"/>
          <w:color w:val="595959"/>
        </w:rPr>
        <w:t xml:space="preserve"> μόνο σε μεταγενέστερο στάδιο με τη σταδιακή κατάργηση των μέτρων στήριξης, όπως και σε άλλα κράτη μέλη.</w:t>
      </w:r>
      <w:r w:rsidRPr="00575A7E">
        <w:rPr>
          <w:b/>
        </w:rPr>
        <w:t xml:space="preserve"> </w:t>
      </w:r>
    </w:p>
    <w:p w14:paraId="5B229098" w14:textId="77777777" w:rsidR="00ED11FC" w:rsidRPr="00DD1444" w:rsidRDefault="00ED11FC" w:rsidP="003B1BE9">
      <w:pPr>
        <w:spacing w:after="0" w:line="276" w:lineRule="auto"/>
      </w:pPr>
    </w:p>
    <w:p w14:paraId="58120C8E" w14:textId="77777777" w:rsidR="00283CC6" w:rsidRPr="006110B7" w:rsidRDefault="00283CC6" w:rsidP="003B1BE9">
      <w:pPr>
        <w:pStyle w:val="3"/>
        <w:spacing w:before="0" w:line="276" w:lineRule="auto"/>
        <w:jc w:val="both"/>
        <w:rPr>
          <w:rFonts w:eastAsia="Times New Roman"/>
        </w:rPr>
      </w:pPr>
      <w:bookmarkStart w:id="36" w:name="_Toc50131942"/>
      <w:bookmarkStart w:id="37" w:name="_Toc56073715"/>
      <w:bookmarkStart w:id="38" w:name="_Toc67401900"/>
      <w:r w:rsidRPr="006110B7">
        <w:rPr>
          <w:rFonts w:eastAsia="Times New Roman"/>
        </w:rPr>
        <w:t>Ρευστότητα</w:t>
      </w:r>
      <w:bookmarkEnd w:id="36"/>
      <w:bookmarkEnd w:id="37"/>
      <w:bookmarkEnd w:id="38"/>
    </w:p>
    <w:p w14:paraId="47788EA9" w14:textId="77777777" w:rsidR="00283CC6" w:rsidRPr="00575A7E" w:rsidRDefault="00283CC6" w:rsidP="003B1BE9">
      <w:pPr>
        <w:spacing w:after="0" w:line="276" w:lineRule="auto"/>
        <w:rPr>
          <w:rFonts w:ascii="Calibri" w:eastAsia="Calibri" w:hAnsi="Calibri" w:cs="Times New Roman"/>
        </w:rPr>
      </w:pPr>
    </w:p>
    <w:p w14:paraId="309EA34F" w14:textId="697FBEDA" w:rsidR="00283CC6" w:rsidRPr="00575A7E" w:rsidRDefault="00E83C98" w:rsidP="003B1BE9">
      <w:pPr>
        <w:autoSpaceDE w:val="0"/>
        <w:autoSpaceDN w:val="0"/>
        <w:adjustRightInd w:val="0"/>
        <w:spacing w:line="276" w:lineRule="auto"/>
        <w:jc w:val="both"/>
        <w:rPr>
          <w:rFonts w:ascii="Calibri" w:eastAsia="Calibri" w:hAnsi="Calibri" w:cs="Calibri"/>
          <w:color w:val="595959" w:themeColor="text1" w:themeTint="A6"/>
        </w:rPr>
      </w:pPr>
      <w:r>
        <w:rPr>
          <w:rFonts w:ascii="Calibri" w:eastAsia="Calibri" w:hAnsi="Calibri" w:cs="Times New Roman"/>
          <w:color w:val="595959"/>
        </w:rPr>
        <w:t xml:space="preserve">Ο </w:t>
      </w:r>
      <w:r w:rsidR="00283CC6" w:rsidRPr="00575A7E">
        <w:rPr>
          <w:rFonts w:ascii="Calibri" w:eastAsia="Calibri" w:hAnsi="Calibri" w:cs="Times New Roman"/>
          <w:color w:val="595959"/>
        </w:rPr>
        <w:t xml:space="preserve">συνολικός δανεισμός του ιδιωτικού τομέα (επιχειρήσεις και νοικοκυριά) από τα εγχώρια πιστωτικά ιδρύματα συνεχίζει την καθοδική του πορεία. Σύμφωνα </w:t>
      </w:r>
      <w:hyperlink r:id="rId44" w:history="1">
        <w:r w:rsidR="00283CC6" w:rsidRPr="00575A7E">
          <w:rPr>
            <w:rStyle w:val="-"/>
            <w:rFonts w:ascii="Calibri" w:eastAsia="Calibri" w:hAnsi="Calibri" w:cs="Times New Roman"/>
            <w:color w:val="595959"/>
          </w:rPr>
          <w:t xml:space="preserve">με </w:t>
        </w:r>
        <w:r w:rsidR="00283CC6" w:rsidRPr="00575A7E">
          <w:rPr>
            <w:rStyle w:val="-"/>
            <w:rFonts w:ascii="Calibri" w:eastAsia="Calibri" w:hAnsi="Calibri" w:cs="Calibri"/>
            <w:color w:val="595959"/>
          </w:rPr>
          <w:t>τα στοιχεία της Τράπεζας της Ελλάδος</w:t>
        </w:r>
      </w:hyperlink>
      <w:r w:rsidR="00283CC6" w:rsidRPr="00575A7E">
        <w:rPr>
          <w:rFonts w:ascii="Calibri" w:eastAsia="Calibri" w:hAnsi="Calibri" w:cs="Calibri"/>
          <w:color w:val="595959"/>
        </w:rPr>
        <w:t>,</w:t>
      </w:r>
      <w:r w:rsidR="00283CC6" w:rsidRPr="00575A7E">
        <w:rPr>
          <w:rFonts w:ascii="Calibri" w:eastAsia="Calibri" w:hAnsi="Calibri" w:cs="Times New Roman"/>
          <w:color w:val="595959"/>
        </w:rPr>
        <w:t xml:space="preserve"> τον </w:t>
      </w:r>
      <w:bookmarkStart w:id="39" w:name="_Hlk57833058"/>
      <w:r w:rsidR="00283CC6" w:rsidRPr="00575A7E">
        <w:rPr>
          <w:rFonts w:ascii="Calibri" w:eastAsia="Calibri" w:hAnsi="Calibri" w:cs="Times New Roman"/>
          <w:color w:val="595959"/>
        </w:rPr>
        <w:t xml:space="preserve">Ιανουάριο </w:t>
      </w:r>
      <w:bookmarkEnd w:id="39"/>
      <w:r w:rsidR="00283CC6" w:rsidRPr="00575A7E">
        <w:rPr>
          <w:rFonts w:ascii="Calibri" w:eastAsia="Calibri" w:hAnsi="Calibri" w:cs="Times New Roman"/>
          <w:color w:val="595959"/>
        </w:rPr>
        <w:t xml:space="preserve">του 2021 το υπόλοιπο των δανείων ήταν 140,7 δις ευρώ, μειωμένο κατά 12,3 </w:t>
      </w:r>
      <w:bookmarkStart w:id="40" w:name="_Hlk65613222"/>
      <w:r w:rsidR="00283CC6" w:rsidRPr="00575A7E">
        <w:rPr>
          <w:rFonts w:ascii="Calibri" w:eastAsia="Calibri" w:hAnsi="Calibri" w:cs="Times New Roman"/>
          <w:color w:val="595959"/>
        </w:rPr>
        <w:t xml:space="preserve">δις </w:t>
      </w:r>
      <w:bookmarkEnd w:id="40"/>
      <w:r w:rsidR="00283CC6" w:rsidRPr="00575A7E">
        <w:rPr>
          <w:rFonts w:ascii="Calibri" w:eastAsia="Calibri" w:hAnsi="Calibri" w:cs="Times New Roman"/>
          <w:color w:val="595959"/>
        </w:rPr>
        <w:t xml:space="preserve">ευρώ (-8,1%) σε ετήσια βάση και κατά 6,2 δις </w:t>
      </w:r>
      <w:r w:rsidR="00283CC6" w:rsidRPr="00575A7E">
        <w:rPr>
          <w:rFonts w:ascii="Calibri" w:eastAsia="Calibri" w:hAnsi="Calibri" w:cs="Calibri"/>
          <w:color w:val="595959" w:themeColor="text1" w:themeTint="A6"/>
        </w:rPr>
        <w:t xml:space="preserve">ευρώ (-4,2%) σε </w:t>
      </w:r>
      <w:r w:rsidR="00283CC6" w:rsidRPr="00575A7E">
        <w:rPr>
          <w:rFonts w:ascii="Calibri" w:eastAsia="Calibri" w:hAnsi="Calibri" w:cs="Calibri"/>
          <w:color w:val="595959"/>
        </w:rPr>
        <w:t>σύγκριση</w:t>
      </w:r>
      <w:r w:rsidR="00283CC6" w:rsidRPr="00575A7E">
        <w:rPr>
          <w:rFonts w:ascii="Calibri" w:eastAsia="Calibri" w:hAnsi="Calibri" w:cs="Calibri"/>
          <w:color w:val="595959" w:themeColor="text1" w:themeTint="A6"/>
        </w:rPr>
        <w:t xml:space="preserve"> με τον Οκτώβριο του 2020.</w:t>
      </w:r>
    </w:p>
    <w:p w14:paraId="50EBE571" w14:textId="77777777" w:rsidR="00283CC6" w:rsidRPr="00575A7E" w:rsidRDefault="00283CC6" w:rsidP="003B1BE9">
      <w:pPr>
        <w:autoSpaceDE w:val="0"/>
        <w:autoSpaceDN w:val="0"/>
        <w:adjustRightInd w:val="0"/>
        <w:spacing w:line="276" w:lineRule="auto"/>
        <w:jc w:val="both"/>
        <w:rPr>
          <w:rFonts w:ascii="Calibri" w:eastAsia="Calibri" w:hAnsi="Calibri" w:cs="Calibri"/>
          <w:color w:val="595959" w:themeColor="text1" w:themeTint="A6"/>
        </w:rPr>
      </w:pPr>
      <w:r w:rsidRPr="00575A7E">
        <w:rPr>
          <w:rFonts w:ascii="Calibri" w:eastAsia="Calibri" w:hAnsi="Calibri" w:cs="Calibri"/>
          <w:color w:val="595959" w:themeColor="text1" w:themeTint="A6"/>
        </w:rPr>
        <w:t>Αναφορικά</w:t>
      </w:r>
      <w:r w:rsidRPr="00575A7E">
        <w:rPr>
          <w:rFonts w:ascii="Calibri" w:eastAsia="Calibri" w:hAnsi="Calibri" w:cs="Calibri"/>
          <w:color w:val="595959"/>
        </w:rPr>
        <w:t xml:space="preserve"> με τις καταθέσεις επιχειρήσεων και νοικοκυριών, </w:t>
      </w:r>
      <w:hyperlink r:id="rId45" w:history="1">
        <w:r w:rsidRPr="00575A7E">
          <w:rPr>
            <w:rStyle w:val="-"/>
            <w:rFonts w:ascii="Calibri" w:eastAsia="Calibri" w:hAnsi="Calibri" w:cs="Calibri"/>
            <w:color w:val="595959"/>
          </w:rPr>
          <w:t>τα στοιχεία της Τράπεζας της Ελλάδος</w:t>
        </w:r>
      </w:hyperlink>
      <w:r w:rsidRPr="00575A7E">
        <w:rPr>
          <w:rFonts w:ascii="Calibri" w:eastAsia="Calibri" w:hAnsi="Calibri" w:cs="Calibri"/>
          <w:color w:val="595959"/>
        </w:rPr>
        <w:t xml:space="preserve"> καταγράφουν το ποσό των 162,1 δις ευρώ τον Ιανουάριο του 2021, αυξημένες κατά 21,0 δις ευρώ (15%) σε ετήσια βάση και αυξημένες κατά 6,4 δις ευρώ (4,1%) σε σχέση με </w:t>
      </w:r>
      <w:r w:rsidRPr="00575A7E">
        <w:rPr>
          <w:rFonts w:ascii="Calibri" w:eastAsia="Calibri" w:hAnsi="Calibri" w:cs="Calibri"/>
          <w:color w:val="595959" w:themeColor="text1" w:themeTint="A6"/>
        </w:rPr>
        <w:t>τον Οκτώβριο του 2020. Η αύξηση στις καταθέσεις των μη χρηματοοικονομικών επιχειρήσεων και των νοικοκυριών αποδίδεται στην προληπτική αποταμίευση, στην αναστολή φορολογικών και άλλων υποχρεώσεων καθώς και στα μέτρα στήριξης.</w:t>
      </w:r>
    </w:p>
    <w:p w14:paraId="04CDEE6E"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Calibri"/>
          <w:color w:val="595959" w:themeColor="text1" w:themeTint="A6"/>
        </w:rPr>
        <w:t>Οι</w:t>
      </w:r>
      <w:r w:rsidRPr="00575A7E">
        <w:rPr>
          <w:rFonts w:ascii="Calibri" w:eastAsia="Calibri" w:hAnsi="Calibri" w:cs="Times New Roman"/>
          <w:color w:val="595959"/>
        </w:rPr>
        <w:t xml:space="preserve"> ακαθάριστες ροές νέων δανείων (δηλαδή, το </w:t>
      </w:r>
      <w:hyperlink r:id="rId46" w:history="1">
        <w:r w:rsidRPr="00575A7E">
          <w:rPr>
            <w:color w:val="595959"/>
            <w:u w:val="single"/>
          </w:rPr>
          <w:t>σύνολο δανείων τακτής λήξης</w:t>
        </w:r>
      </w:hyperlink>
      <w:r w:rsidRPr="00575A7E">
        <w:rPr>
          <w:rFonts w:ascii="Calibri" w:eastAsia="Calibri" w:hAnsi="Calibri" w:cs="Times New Roman"/>
          <w:color w:val="595959"/>
        </w:rPr>
        <w:t xml:space="preserve"> χωρίς την αφαίρεση των αποπληρωμών εκ μέρους των δανειοληπτών) </w:t>
      </w:r>
      <w:r w:rsidR="00855F8D">
        <w:rPr>
          <w:rFonts w:ascii="Calibri" w:eastAsia="Calibri" w:hAnsi="Calibri" w:cs="Times New Roman"/>
          <w:color w:val="595959"/>
        </w:rPr>
        <w:t>αυξήθηκαν τον Ιανουάριο του 202</w:t>
      </w:r>
      <w:r w:rsidR="00855F8D" w:rsidRPr="00855F8D">
        <w:rPr>
          <w:rFonts w:ascii="Calibri" w:eastAsia="Calibri" w:hAnsi="Calibri" w:cs="Times New Roman"/>
          <w:color w:val="595959"/>
        </w:rPr>
        <w:t>1</w:t>
      </w:r>
      <w:r w:rsidRPr="00575A7E">
        <w:rPr>
          <w:rFonts w:ascii="Calibri" w:eastAsia="Calibri" w:hAnsi="Calibri" w:cs="Times New Roman"/>
          <w:color w:val="595959"/>
        </w:rPr>
        <w:t xml:space="preserve"> (1.076 εκατ. ευρώ σε σύγκριση με</w:t>
      </w:r>
      <w:r w:rsidR="00855F8D">
        <w:rPr>
          <w:rFonts w:ascii="Calibri" w:eastAsia="Calibri" w:hAnsi="Calibri" w:cs="Times New Roman"/>
          <w:color w:val="595959"/>
        </w:rPr>
        <w:t xml:space="preserve"> την αντίστοιχη περίοδο του 2020</w:t>
      </w:r>
      <w:r w:rsidRPr="00575A7E">
        <w:rPr>
          <w:rFonts w:ascii="Calibri" w:eastAsia="Calibri" w:hAnsi="Calibri" w:cs="Times New Roman"/>
          <w:color w:val="595959"/>
        </w:rPr>
        <w:t xml:space="preserve"> που διαμορφώθηκαν στα 620 εκατ. ευρώ). Τα νέα δάνεια προς μη χρηματοπιστωτικές επιχειρήσεις αυξήθηκαν (από 489 εκατ. ευρώ σε 925 εκατ. ευρώ) καθώς και τα άλλα νέα δάνεια (στεγαστικά, καταναλωτικά, ελεύθεροι επαγγελματίες) αυξήθηκαν (από 131 εκατ. ευρώ σε 151 εκατ. ευρώ). </w:t>
      </w:r>
    </w:p>
    <w:p w14:paraId="6B40A549" w14:textId="77777777" w:rsidR="00283CC6" w:rsidRPr="00575A7E" w:rsidRDefault="00283CC6" w:rsidP="003B1BE9">
      <w:pPr>
        <w:spacing w:after="0" w:line="276" w:lineRule="auto"/>
        <w:rPr>
          <w:rFonts w:asciiTheme="majorHAnsi" w:eastAsia="Times New Roman" w:hAnsiTheme="majorHAnsi" w:cstheme="majorBidi"/>
          <w:b/>
          <w:bCs/>
          <w:color w:val="4472C4" w:themeColor="accent1"/>
        </w:rPr>
      </w:pPr>
      <w:bookmarkStart w:id="41" w:name="_Toc50131943"/>
      <w:bookmarkStart w:id="42" w:name="_Toc50496797"/>
    </w:p>
    <w:p w14:paraId="2A11CB9F" w14:textId="77777777" w:rsidR="00DD1444" w:rsidRPr="006110B7" w:rsidRDefault="00DD1444" w:rsidP="003B1BE9">
      <w:pPr>
        <w:keepNext/>
        <w:keepLines/>
        <w:spacing w:after="0" w:line="276" w:lineRule="auto"/>
        <w:outlineLvl w:val="2"/>
        <w:rPr>
          <w:rFonts w:asciiTheme="majorHAnsi" w:eastAsia="Times New Roman" w:hAnsiTheme="majorHAnsi" w:cstheme="majorBidi"/>
          <w:b/>
          <w:bCs/>
          <w:color w:val="4472C4" w:themeColor="accent1"/>
        </w:rPr>
      </w:pPr>
      <w:bookmarkStart w:id="43" w:name="_Toc67046325"/>
      <w:bookmarkStart w:id="44" w:name="_Toc67401901"/>
      <w:bookmarkEnd w:id="41"/>
      <w:bookmarkEnd w:id="42"/>
      <w:r w:rsidRPr="006110B7">
        <w:rPr>
          <w:rFonts w:asciiTheme="majorHAnsi" w:eastAsia="Times New Roman" w:hAnsiTheme="majorHAnsi" w:cstheme="majorBidi"/>
          <w:b/>
          <w:bCs/>
          <w:color w:val="4472C4" w:themeColor="accent1"/>
        </w:rPr>
        <w:t>Πληθωρισμός</w:t>
      </w:r>
      <w:bookmarkEnd w:id="43"/>
      <w:bookmarkEnd w:id="44"/>
    </w:p>
    <w:p w14:paraId="04675663" w14:textId="77777777" w:rsidR="00DD1444" w:rsidRPr="00575A7E" w:rsidRDefault="00DD1444" w:rsidP="003B1BE9">
      <w:pPr>
        <w:spacing w:after="0" w:line="276" w:lineRule="auto"/>
        <w:jc w:val="both"/>
        <w:rPr>
          <w:rFonts w:ascii="Calibri Light" w:eastAsia="Times New Roman" w:hAnsi="Calibri Light" w:cs="Times New Roman"/>
          <w:b/>
          <w:bCs/>
          <w:color w:val="4472C4"/>
        </w:rPr>
      </w:pPr>
    </w:p>
    <w:p w14:paraId="0B69C067" w14:textId="1766EBC6" w:rsidR="00DD1444" w:rsidRDefault="00E83C98" w:rsidP="003B1BE9">
      <w:pPr>
        <w:autoSpaceDE w:val="0"/>
        <w:autoSpaceDN w:val="0"/>
        <w:adjustRightInd w:val="0"/>
        <w:spacing w:after="0" w:line="276" w:lineRule="auto"/>
        <w:jc w:val="both"/>
        <w:rPr>
          <w:rFonts w:ascii="Calibri" w:eastAsia="Calibri" w:hAnsi="Calibri" w:cs="Times New Roman"/>
          <w:color w:val="595959"/>
        </w:rPr>
      </w:pPr>
      <w:r>
        <w:rPr>
          <w:rFonts w:ascii="Calibri" w:eastAsia="Calibri" w:hAnsi="Calibri" w:cs="Times New Roman"/>
          <w:color w:val="595959"/>
        </w:rPr>
        <w:t xml:space="preserve">Ο </w:t>
      </w:r>
      <w:r w:rsidR="00DD1444" w:rsidRPr="00575A7E">
        <w:rPr>
          <w:rFonts w:ascii="Calibri" w:eastAsia="Calibri" w:hAnsi="Calibri" w:cs="Times New Roman"/>
          <w:color w:val="595959"/>
        </w:rPr>
        <w:t xml:space="preserve">πληθωρισμός (ετήσια ποσοστιαία μεταβολή του Εναρμονισμένου Δείκτη Τιμών </w:t>
      </w:r>
      <w:r w:rsidR="00DD1444" w:rsidRPr="00DD1444">
        <w:rPr>
          <w:rFonts w:ascii="Calibri" w:eastAsia="Calibri" w:hAnsi="Calibri" w:cs="Times New Roman"/>
          <w:color w:val="595959" w:themeColor="text1" w:themeTint="A6"/>
        </w:rPr>
        <w:t>Καταναλωτή</w:t>
      </w:r>
      <w:r w:rsidR="00DD1444" w:rsidRPr="00575A7E">
        <w:rPr>
          <w:rFonts w:ascii="Calibri" w:eastAsia="Calibri" w:hAnsi="Calibri" w:cs="Times New Roman"/>
          <w:color w:val="595959"/>
        </w:rPr>
        <w:t>) ανήλθε τον Φεβρουάριο του 2021 στο -1,9% σύμφωνα με τα στοιχεία της</w:t>
      </w:r>
      <w:r w:rsidR="00DD1444" w:rsidRPr="00AE6F2E">
        <w:t xml:space="preserve"> </w:t>
      </w:r>
      <w:hyperlink r:id="rId47" w:history="1">
        <w:r w:rsidR="00DD1444" w:rsidRPr="00DD1444">
          <w:rPr>
            <w:rStyle w:val="-"/>
            <w:color w:val="595959" w:themeColor="text1" w:themeTint="A6"/>
            <w:lang w:val="en-US"/>
          </w:rPr>
          <w:t>Eurostat</w:t>
        </w:r>
      </w:hyperlink>
      <w:r w:rsidR="00DD1444" w:rsidRPr="00DD1444">
        <w:rPr>
          <w:rFonts w:ascii="Calibri" w:eastAsia="Calibri" w:hAnsi="Calibri" w:cs="Times New Roman"/>
          <w:color w:val="595959" w:themeColor="text1" w:themeTint="A6"/>
        </w:rPr>
        <w:t xml:space="preserve">, μειωμένος σε σχέση με τον Φεβρουάριο του 2020 (0,4%) και αυξημένος σε σχέση </w:t>
      </w:r>
      <w:r w:rsidR="00DD1444" w:rsidRPr="00575A7E">
        <w:rPr>
          <w:rFonts w:ascii="Calibri" w:eastAsia="Calibri" w:hAnsi="Calibri" w:cs="Times New Roman"/>
          <w:color w:val="595959"/>
        </w:rPr>
        <w:t>με τον προηγούμενο μήνα (-2,4%).</w:t>
      </w:r>
    </w:p>
    <w:p w14:paraId="1A1263A6" w14:textId="77777777" w:rsidR="00014A80" w:rsidRDefault="00014A80" w:rsidP="003B1BE9">
      <w:pPr>
        <w:autoSpaceDE w:val="0"/>
        <w:autoSpaceDN w:val="0"/>
        <w:adjustRightInd w:val="0"/>
        <w:spacing w:after="0" w:line="276" w:lineRule="auto"/>
        <w:jc w:val="both"/>
        <w:rPr>
          <w:rFonts w:ascii="Calibri" w:eastAsia="Calibri" w:hAnsi="Calibri" w:cs="Times New Roman"/>
          <w:color w:val="595959"/>
        </w:rPr>
      </w:pPr>
    </w:p>
    <w:p w14:paraId="522F6994" w14:textId="77777777" w:rsidR="00014A80" w:rsidRDefault="00014A80" w:rsidP="003B1BE9">
      <w:pPr>
        <w:autoSpaceDE w:val="0"/>
        <w:autoSpaceDN w:val="0"/>
        <w:adjustRightInd w:val="0"/>
        <w:spacing w:after="0" w:line="276" w:lineRule="auto"/>
        <w:jc w:val="both"/>
        <w:rPr>
          <w:rFonts w:ascii="Calibri" w:eastAsia="Calibri" w:hAnsi="Calibri" w:cs="Times New Roman"/>
          <w:color w:val="595959"/>
        </w:rPr>
      </w:pPr>
    </w:p>
    <w:p w14:paraId="7FF2221C" w14:textId="77777777" w:rsidR="00014A80" w:rsidRDefault="00014A80" w:rsidP="003B1BE9">
      <w:pPr>
        <w:autoSpaceDE w:val="0"/>
        <w:autoSpaceDN w:val="0"/>
        <w:adjustRightInd w:val="0"/>
        <w:spacing w:after="0" w:line="276" w:lineRule="auto"/>
        <w:jc w:val="both"/>
        <w:rPr>
          <w:rFonts w:ascii="Calibri" w:eastAsia="Calibri" w:hAnsi="Calibri" w:cs="Times New Roman"/>
          <w:color w:val="595959"/>
        </w:rPr>
      </w:pPr>
    </w:p>
    <w:p w14:paraId="07139A17" w14:textId="77777777" w:rsidR="00014A80" w:rsidRDefault="00014A80" w:rsidP="003B1BE9">
      <w:pPr>
        <w:autoSpaceDE w:val="0"/>
        <w:autoSpaceDN w:val="0"/>
        <w:adjustRightInd w:val="0"/>
        <w:spacing w:after="0" w:line="276" w:lineRule="auto"/>
        <w:jc w:val="both"/>
        <w:rPr>
          <w:rFonts w:ascii="Calibri" w:eastAsia="Calibri" w:hAnsi="Calibri" w:cs="Times New Roman"/>
          <w:color w:val="595959"/>
        </w:rPr>
      </w:pPr>
    </w:p>
    <w:p w14:paraId="1FA89C51" w14:textId="77777777" w:rsidR="00A15EF8" w:rsidRDefault="00A15EF8" w:rsidP="00014A80">
      <w:pPr>
        <w:keepNext/>
        <w:spacing w:after="0" w:line="240" w:lineRule="auto"/>
        <w:rPr>
          <w:color w:val="44546A" w:themeColor="text2"/>
        </w:rPr>
      </w:pPr>
    </w:p>
    <w:p w14:paraId="6894AFDF" w14:textId="2DD680A5" w:rsidR="00DD1444" w:rsidRPr="00575A7E" w:rsidRDefault="00D960BC" w:rsidP="00A15EF8">
      <w:pPr>
        <w:pStyle w:val="ae"/>
        <w:spacing w:after="0"/>
        <w:jc w:val="center"/>
        <w:rPr>
          <w:i w:val="0"/>
          <w:iCs w:val="0"/>
        </w:rPr>
      </w:pPr>
      <w:bookmarkStart w:id="45" w:name="_Toc67046390"/>
      <w:bookmarkStart w:id="46" w:name="_Toc67396693"/>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3</w:t>
      </w:r>
      <w:r w:rsidR="0096217C">
        <w:rPr>
          <w:noProof/>
        </w:rPr>
        <w:fldChar w:fldCharType="end"/>
      </w:r>
      <w:r w:rsidR="00C56CBC" w:rsidRPr="001C1DF1">
        <w:t xml:space="preserve"> </w:t>
      </w:r>
      <w:r w:rsidR="00DD1444" w:rsidRPr="00575A7E">
        <w:t>Πληθωρισμός εναρμονισμένου δείκτη και "πυρήνας" πληθωρισμού</w:t>
      </w:r>
      <w:bookmarkEnd w:id="45"/>
      <w:bookmarkEnd w:id="46"/>
    </w:p>
    <w:p w14:paraId="2B2BF5D3" w14:textId="77777777" w:rsidR="00DD1444" w:rsidRPr="00575A7E" w:rsidRDefault="00DD1444" w:rsidP="003B1BE9">
      <w:pPr>
        <w:autoSpaceDE w:val="0"/>
        <w:autoSpaceDN w:val="0"/>
        <w:adjustRightInd w:val="0"/>
        <w:spacing w:before="240" w:after="0" w:line="276" w:lineRule="auto"/>
        <w:jc w:val="center"/>
        <w:rPr>
          <w:rFonts w:ascii="Calibri" w:eastAsia="Calibri" w:hAnsi="Calibri" w:cs="Times New Roman"/>
          <w:color w:val="595959"/>
        </w:rPr>
      </w:pPr>
      <w:r>
        <w:rPr>
          <w:rFonts w:ascii="Calibri" w:eastAsia="Calibri" w:hAnsi="Calibri" w:cs="Times New Roman"/>
          <w:noProof/>
          <w:color w:val="595959"/>
          <w:lang w:eastAsia="el-GR"/>
        </w:rPr>
        <w:drawing>
          <wp:inline distT="0" distB="0" distL="0" distR="0" wp14:anchorId="09E0691B" wp14:editId="012CD72D">
            <wp:extent cx="4777200" cy="2448000"/>
            <wp:effectExtent l="0" t="0" r="0" b="0"/>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77200" cy="2448000"/>
                    </a:xfrm>
                    <a:prstGeom prst="rect">
                      <a:avLst/>
                    </a:prstGeom>
                  </pic:spPr>
                </pic:pic>
              </a:graphicData>
            </a:graphic>
          </wp:inline>
        </w:drawing>
      </w:r>
    </w:p>
    <w:p w14:paraId="50826423" w14:textId="77777777" w:rsidR="00DD1444" w:rsidRPr="00575A7E" w:rsidRDefault="00DD1444" w:rsidP="003B1BE9">
      <w:pPr>
        <w:autoSpaceDE w:val="0"/>
        <w:autoSpaceDN w:val="0"/>
        <w:adjustRightInd w:val="0"/>
        <w:spacing w:after="0" w:line="276" w:lineRule="auto"/>
        <w:jc w:val="center"/>
        <w:rPr>
          <w:rFonts w:ascii="Calibri" w:eastAsia="Calibri" w:hAnsi="Calibri" w:cs="Times New Roman"/>
          <w:color w:val="595959"/>
        </w:rPr>
      </w:pPr>
    </w:p>
    <w:p w14:paraId="35486D4E" w14:textId="77777777" w:rsidR="00DD1444" w:rsidRPr="00575A7E" w:rsidRDefault="00DD1444" w:rsidP="003B1BE9">
      <w:pPr>
        <w:tabs>
          <w:tab w:val="left" w:pos="2268"/>
        </w:tabs>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Ο «πυρήνας» του πληθωρισμού (δεν περιλαμβάνει την ενέργεια και τα μη επεξεργασμένα τρόφιμα), παραμένει χαμηλός στο -1,</w:t>
      </w:r>
      <w:r w:rsidRPr="00AE6F2E">
        <w:rPr>
          <w:rFonts w:ascii="Calibri" w:eastAsia="Calibri" w:hAnsi="Calibri" w:cs="Times New Roman"/>
          <w:color w:val="595959"/>
        </w:rPr>
        <w:t>6</w:t>
      </w:r>
      <w:r w:rsidRPr="00575A7E">
        <w:rPr>
          <w:rFonts w:ascii="Calibri" w:eastAsia="Calibri" w:hAnsi="Calibri" w:cs="Times New Roman"/>
          <w:color w:val="595959"/>
        </w:rPr>
        <w:t xml:space="preserve">% τον </w:t>
      </w:r>
      <w:r>
        <w:rPr>
          <w:rFonts w:ascii="Calibri" w:eastAsia="Calibri" w:hAnsi="Calibri" w:cs="Times New Roman"/>
          <w:color w:val="595959"/>
        </w:rPr>
        <w:t>Φεβρουάριο</w:t>
      </w:r>
      <w:r w:rsidRPr="00575A7E">
        <w:rPr>
          <w:rFonts w:ascii="Calibri" w:eastAsia="Calibri" w:hAnsi="Calibri" w:cs="Times New Roman"/>
          <w:color w:val="595959"/>
        </w:rPr>
        <w:t xml:space="preserve"> του 2021 από 0,</w:t>
      </w:r>
      <w:r>
        <w:rPr>
          <w:rFonts w:ascii="Calibri" w:eastAsia="Calibri" w:hAnsi="Calibri" w:cs="Times New Roman"/>
          <w:color w:val="595959"/>
        </w:rPr>
        <w:t>0</w:t>
      </w:r>
      <w:r w:rsidRPr="00575A7E">
        <w:rPr>
          <w:rFonts w:ascii="Calibri" w:eastAsia="Calibri" w:hAnsi="Calibri" w:cs="Times New Roman"/>
          <w:color w:val="595959"/>
        </w:rPr>
        <w:t xml:space="preserve">% τον </w:t>
      </w:r>
      <w:r w:rsidRPr="00555714">
        <w:rPr>
          <w:rFonts w:ascii="Calibri" w:eastAsia="Calibri" w:hAnsi="Calibri" w:cs="Times New Roman"/>
          <w:color w:val="595959"/>
        </w:rPr>
        <w:t xml:space="preserve">Φεβρουάριο </w:t>
      </w:r>
      <w:r w:rsidRPr="00575A7E">
        <w:rPr>
          <w:rFonts w:ascii="Calibri" w:eastAsia="Calibri" w:hAnsi="Calibri" w:cs="Times New Roman"/>
          <w:color w:val="595959"/>
        </w:rPr>
        <w:t>του προηγούμενου έτους και ελαφρώς αυξημένος σε σχέση με τον προηγούμενο μήνα (-1,</w:t>
      </w:r>
      <w:r>
        <w:rPr>
          <w:rFonts w:ascii="Calibri" w:eastAsia="Calibri" w:hAnsi="Calibri" w:cs="Times New Roman"/>
          <w:color w:val="595959"/>
        </w:rPr>
        <w:t>8</w:t>
      </w:r>
      <w:r w:rsidRPr="00575A7E">
        <w:rPr>
          <w:rFonts w:ascii="Calibri" w:eastAsia="Calibri" w:hAnsi="Calibri" w:cs="Times New Roman"/>
          <w:color w:val="595959"/>
        </w:rPr>
        <w:t xml:space="preserve">%). Στην </w:t>
      </w:r>
      <w:hyperlink r:id="rId49" w:history="1">
        <w:r w:rsidRPr="00575A7E">
          <w:rPr>
            <w:rFonts w:ascii="Calibri" w:eastAsia="Calibri" w:hAnsi="Calibri" w:cs="Times New Roman"/>
            <w:color w:val="595959"/>
            <w:u w:val="single"/>
          </w:rPr>
          <w:t>Ευρωζώνη</w:t>
        </w:r>
      </w:hyperlink>
      <w:r w:rsidRPr="00575A7E">
        <w:rPr>
          <w:rFonts w:ascii="Calibri" w:eastAsia="Calibri" w:hAnsi="Calibri" w:cs="Times New Roman"/>
          <w:color w:val="595959"/>
        </w:rPr>
        <w:t>, ο εναρμονισμένος δείκτης αυξήθηκε σε ετήσια βάση τον Φεβρουάριο του 2020 κατά 0,9%, ενώ ο «πυρήνας»</w:t>
      </w:r>
      <w:r w:rsidRPr="00575A7E">
        <w:t xml:space="preserve"> </w:t>
      </w:r>
      <w:r w:rsidRPr="00575A7E">
        <w:rPr>
          <w:rFonts w:ascii="Calibri" w:eastAsia="Calibri" w:hAnsi="Calibri" w:cs="Times New Roman"/>
          <w:color w:val="595959"/>
        </w:rPr>
        <w:t>του πληθωρισμού διαμορφώθηκε σε 1,2%.</w:t>
      </w:r>
    </w:p>
    <w:p w14:paraId="369613F7"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p>
    <w:p w14:paraId="3688C146" w14:textId="77777777" w:rsidR="00283CC6" w:rsidRPr="00575A7E" w:rsidRDefault="00283CC6" w:rsidP="003B1BE9">
      <w:pPr>
        <w:pStyle w:val="3"/>
        <w:spacing w:before="0" w:line="276" w:lineRule="auto"/>
        <w:rPr>
          <w:rFonts w:eastAsia="Times New Roman"/>
        </w:rPr>
      </w:pPr>
      <w:bookmarkStart w:id="47" w:name="_Toc50131944"/>
      <w:bookmarkStart w:id="48" w:name="_Toc56073717"/>
      <w:bookmarkStart w:id="49" w:name="_Toc67401902"/>
      <w:r w:rsidRPr="00575A7E">
        <w:rPr>
          <w:rFonts w:eastAsia="Times New Roman"/>
        </w:rPr>
        <w:t>Εξωτερικός τομέας</w:t>
      </w:r>
      <w:bookmarkEnd w:id="47"/>
      <w:bookmarkEnd w:id="48"/>
      <w:bookmarkEnd w:id="49"/>
    </w:p>
    <w:p w14:paraId="376B6C67"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p>
    <w:p w14:paraId="0BA35989" w14:textId="60658828" w:rsidR="00283CC6" w:rsidRPr="00575A7E" w:rsidRDefault="00E83C98" w:rsidP="003B1BE9">
      <w:pPr>
        <w:autoSpaceDE w:val="0"/>
        <w:autoSpaceDN w:val="0"/>
        <w:adjustRightInd w:val="0"/>
        <w:spacing w:line="276" w:lineRule="auto"/>
        <w:jc w:val="both"/>
        <w:rPr>
          <w:rFonts w:ascii="Calibri" w:eastAsia="Calibri" w:hAnsi="Calibri" w:cs="Times New Roman"/>
          <w:color w:val="595959"/>
        </w:rPr>
      </w:pPr>
      <w:r>
        <w:rPr>
          <w:rFonts w:ascii="Calibri" w:eastAsia="Calibri" w:hAnsi="Calibri" w:cs="Times New Roman"/>
          <w:color w:val="595959"/>
        </w:rPr>
        <w:t>Σ</w:t>
      </w:r>
      <w:r w:rsidR="00283CC6" w:rsidRPr="00575A7E">
        <w:rPr>
          <w:rFonts w:ascii="Calibri" w:eastAsia="Calibri" w:hAnsi="Calibri" w:cs="Times New Roman"/>
          <w:color w:val="595959"/>
        </w:rPr>
        <w:t>το δωδεκάμηνο Ιανουαρίου-</w:t>
      </w:r>
      <w:r w:rsidR="00283CC6" w:rsidRPr="00D43F49">
        <w:rPr>
          <w:rFonts w:ascii="Calibri" w:eastAsia="Calibri" w:hAnsi="Calibri" w:cs="Times New Roman"/>
          <w:color w:val="595959" w:themeColor="text1" w:themeTint="A6"/>
        </w:rPr>
        <w:t xml:space="preserve">Δεκεμβρίου 2020, </w:t>
      </w:r>
      <w:hyperlink r:id="rId50" w:history="1">
        <w:r w:rsidR="00671721" w:rsidRPr="00D43F49">
          <w:rPr>
            <w:rStyle w:val="-"/>
            <w:rFonts w:ascii="Calibri" w:eastAsia="Calibri" w:hAnsi="Calibri" w:cs="Times New Roman"/>
            <w:color w:val="595959" w:themeColor="text1" w:themeTint="A6"/>
          </w:rPr>
          <w:t>σύμφωνα με τα τελευταία διαθέσιμα στοιχεία της Τράπεζας της Ελλάδος</w:t>
        </w:r>
      </w:hyperlink>
      <w:r w:rsidR="00283CC6" w:rsidRPr="00D43F49">
        <w:rPr>
          <w:rFonts w:ascii="Calibri" w:eastAsia="Calibri" w:hAnsi="Calibri" w:cs="Times New Roman"/>
          <w:color w:val="595959" w:themeColor="text1" w:themeTint="A6"/>
        </w:rPr>
        <w:t>,</w:t>
      </w:r>
      <w:r w:rsidR="00283CC6" w:rsidRPr="00D43F49">
        <w:rPr>
          <w:rStyle w:val="-"/>
          <w:rFonts w:ascii="Calibri" w:eastAsia="Calibri" w:hAnsi="Calibri" w:cs="Times New Roman"/>
          <w:color w:val="595959" w:themeColor="text1" w:themeTint="A6"/>
          <w:u w:val="none"/>
        </w:rPr>
        <w:t xml:space="preserve"> </w:t>
      </w:r>
      <w:r w:rsidR="00283CC6" w:rsidRPr="00D43F49">
        <w:rPr>
          <w:rFonts w:ascii="Calibri" w:eastAsia="Calibri" w:hAnsi="Calibri" w:cs="Times New Roman"/>
          <w:color w:val="595959" w:themeColor="text1" w:themeTint="A6"/>
        </w:rPr>
        <w:t>το έλλειμμα του ισοζυγίου τρεχουσών συναλλαγών παρουσίασε επιδείνωση κατά 8.440 εκατ</w:t>
      </w:r>
      <w:r w:rsidR="00283CC6" w:rsidRPr="00575A7E">
        <w:rPr>
          <w:rFonts w:ascii="Calibri" w:eastAsia="Calibri" w:hAnsi="Calibri" w:cs="Times New Roman"/>
          <w:color w:val="595959"/>
        </w:rPr>
        <w:t>. ευρώ σε σχέση με την αντίστοιχη περίοδο του 2019</w:t>
      </w:r>
      <w:r w:rsidR="00D43F49">
        <w:rPr>
          <w:rFonts w:ascii="Calibri" w:eastAsia="Calibri" w:hAnsi="Calibri" w:cs="Times New Roman"/>
          <w:color w:val="595959"/>
        </w:rPr>
        <w:t xml:space="preserve"> (5,2</w:t>
      </w:r>
      <w:r w:rsidR="00315694">
        <w:rPr>
          <w:rFonts w:ascii="Calibri" w:eastAsia="Calibri" w:hAnsi="Calibri" w:cs="Times New Roman"/>
          <w:color w:val="595959"/>
        </w:rPr>
        <w:t xml:space="preserve">% </w:t>
      </w:r>
      <w:r w:rsidR="00D43F49">
        <w:rPr>
          <w:rFonts w:ascii="Calibri" w:eastAsia="Calibri" w:hAnsi="Calibri" w:cs="Times New Roman"/>
          <w:color w:val="595959"/>
        </w:rPr>
        <w:t>του</w:t>
      </w:r>
      <w:r w:rsidR="00315694">
        <w:rPr>
          <w:rFonts w:ascii="Calibri" w:eastAsia="Calibri" w:hAnsi="Calibri" w:cs="Times New Roman"/>
          <w:color w:val="595959"/>
        </w:rPr>
        <w:t xml:space="preserve"> ΑΕΠ)</w:t>
      </w:r>
      <w:r w:rsidR="00283CC6" w:rsidRPr="00575A7E">
        <w:rPr>
          <w:rFonts w:ascii="Calibri" w:eastAsia="Calibri" w:hAnsi="Calibri" w:cs="Times New Roman"/>
          <w:color w:val="595959"/>
        </w:rPr>
        <w:t>.</w:t>
      </w:r>
      <w:r w:rsidR="00D43F49">
        <w:rPr>
          <w:rFonts w:ascii="Calibri" w:eastAsia="Calibri" w:hAnsi="Calibri" w:cs="Times New Roman"/>
          <w:color w:val="595959"/>
        </w:rPr>
        <w:t xml:space="preserve"> Συγκεκριμένα, το έλλειμμα 2.725 εκατ. ευρώ (1,5% ΑΕΠ) του 2019 αυξήθηκε σε έλλειμμα 11.165 εκατ. ευρώ (6,7% του ΑΕΠ) το 2020.</w:t>
      </w:r>
    </w:p>
    <w:p w14:paraId="14AE83A9" w14:textId="77777777" w:rsidR="00283CC6" w:rsidRDefault="00283CC6" w:rsidP="003B1BE9">
      <w:pPr>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Η αύξηση του ελλείμματος οφείλεται κυρίως στη μείωση των εξαγωγών αγαθών και υπηρεσιών. Συγκεκριμένα, οι εξαγωγές αγαθών και υπηρεσιών μειώθηκαν κατά 29,0% το 2020 (έναντι αύξησης 4,4% το 2019), ενώ ο ρυθμός μεταβολής των εισαγωγών αγαθών και υπηρεσιών μειώθηκε κατά 15,4% το 2020 (έναντι αύξησης 2,2% το 2019) που ωστόσο δεν μπόρεσε να αντισταθμίσει τη μεγάλη μείωση των εξαγωγών. Οι εισπράξεις εισοδημάτων (πρωτογενών και δευτερογενών)</w:t>
      </w:r>
      <w:r w:rsidR="00D84310" w:rsidRPr="00575A7E">
        <w:rPr>
          <w:rFonts w:ascii="Calibri" w:eastAsia="Calibri" w:hAnsi="Calibri" w:cs="Times New Roman"/>
          <w:color w:val="595959"/>
        </w:rPr>
        <w:t xml:space="preserve"> </w:t>
      </w:r>
      <w:r w:rsidRPr="00575A7E">
        <w:rPr>
          <w:rFonts w:ascii="Calibri" w:eastAsia="Calibri" w:hAnsi="Calibri" w:cs="Times New Roman"/>
          <w:color w:val="595959"/>
        </w:rPr>
        <w:t>αυξήθηκαν κατά 4,9% το 2020, ενώ το 2019 είχαν καταγράψει αύξηση 21,8%. Οι πληρωμές εισοδημάτων μειώθηκαν</w:t>
      </w:r>
      <w:r w:rsidRPr="00575A7E">
        <w:t xml:space="preserve"> </w:t>
      </w:r>
      <w:r w:rsidRPr="00575A7E">
        <w:rPr>
          <w:rFonts w:ascii="Calibri" w:eastAsia="Calibri" w:hAnsi="Calibri" w:cs="Times New Roman"/>
          <w:color w:val="595959"/>
        </w:rPr>
        <w:t>κατά 5,5% το 2020 ενώ το 2019 είχαν καταγράψει αύξηση 7,3% (σε σύγκριση με την αντίστοιχη περίοδο του 2018). Ωστόσο, ούτε η αύξηση των εισπράξεων σε συνδυασμό με τη μείωση των πληρωμών εισοδημάτων ήταν ικανές για να αντισταθμίσουν τη μεγάλη μείωση των εξαγωγών και να ανατρέψουν την επιδείνωση του ισοζυγίου πληρωμών.</w:t>
      </w:r>
    </w:p>
    <w:p w14:paraId="05FDA84A" w14:textId="77777777" w:rsidR="00283CC6" w:rsidRDefault="00283CC6" w:rsidP="003B1BE9">
      <w:pPr>
        <w:autoSpaceDE w:val="0"/>
        <w:autoSpaceDN w:val="0"/>
        <w:adjustRightInd w:val="0"/>
        <w:spacing w:after="0" w:line="276" w:lineRule="auto"/>
        <w:jc w:val="both"/>
        <w:rPr>
          <w:rFonts w:ascii="Calibri" w:eastAsia="Calibri" w:hAnsi="Calibri" w:cs="Times New Roman"/>
          <w:color w:val="595959"/>
        </w:rPr>
      </w:pPr>
    </w:p>
    <w:p w14:paraId="75FEA4C7" w14:textId="77777777" w:rsidR="00D32BA8" w:rsidRPr="00575A7E" w:rsidRDefault="00D32BA8" w:rsidP="003B1BE9">
      <w:pPr>
        <w:autoSpaceDE w:val="0"/>
        <w:autoSpaceDN w:val="0"/>
        <w:adjustRightInd w:val="0"/>
        <w:spacing w:after="0" w:line="276" w:lineRule="auto"/>
        <w:jc w:val="both"/>
        <w:rPr>
          <w:rFonts w:ascii="Calibri" w:eastAsia="Calibri" w:hAnsi="Calibri" w:cs="Times New Roman"/>
          <w:color w:val="595959"/>
        </w:rPr>
      </w:pPr>
    </w:p>
    <w:p w14:paraId="6F2DD3B4" w14:textId="191200C0" w:rsidR="00283CC6" w:rsidRPr="00575A7E" w:rsidRDefault="00D960BC" w:rsidP="00D960BC">
      <w:pPr>
        <w:pStyle w:val="ae"/>
        <w:jc w:val="center"/>
      </w:pPr>
      <w:bookmarkStart w:id="50" w:name="_Toc56073786"/>
      <w:bookmarkStart w:id="51" w:name="_Toc67396694"/>
      <w:r>
        <w:lastRenderedPageBreak/>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4</w:t>
      </w:r>
      <w:r w:rsidR="0096217C">
        <w:rPr>
          <w:noProof/>
        </w:rPr>
        <w:fldChar w:fldCharType="end"/>
      </w:r>
      <w:r w:rsidR="00283CC6" w:rsidRPr="00575A7E">
        <w:t xml:space="preserve"> Ισοζύγιο τρεχουσών συναλλαγών Ιανουαρίου-Δεκεμβρίου, σε εκατ. ευρώ</w:t>
      </w:r>
      <w:bookmarkEnd w:id="50"/>
      <w:bookmarkEnd w:id="51"/>
    </w:p>
    <w:p w14:paraId="4C1FA2C4" w14:textId="77777777" w:rsidR="00283CC6" w:rsidRPr="00575A7E" w:rsidRDefault="00283CC6" w:rsidP="003B1BE9">
      <w:pPr>
        <w:autoSpaceDE w:val="0"/>
        <w:autoSpaceDN w:val="0"/>
        <w:adjustRightInd w:val="0"/>
        <w:spacing w:before="240" w:after="0" w:line="276" w:lineRule="auto"/>
        <w:jc w:val="center"/>
        <w:rPr>
          <w:rFonts w:ascii="Calibri" w:eastAsia="Calibri" w:hAnsi="Calibri" w:cs="Times New Roman"/>
          <w:color w:val="595959"/>
        </w:rPr>
      </w:pPr>
      <w:r w:rsidRPr="00575A7E">
        <w:rPr>
          <w:rFonts w:ascii="Calibri" w:eastAsia="Calibri" w:hAnsi="Calibri" w:cs="Times New Roman"/>
          <w:noProof/>
          <w:color w:val="595959"/>
          <w:lang w:eastAsia="el-GR"/>
        </w:rPr>
        <w:drawing>
          <wp:inline distT="0" distB="0" distL="0" distR="0" wp14:anchorId="30478CD3" wp14:editId="43F24C53">
            <wp:extent cx="3924300" cy="240093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24737" cy="2401202"/>
                    </a:xfrm>
                    <a:prstGeom prst="rect">
                      <a:avLst/>
                    </a:prstGeom>
                  </pic:spPr>
                </pic:pic>
              </a:graphicData>
            </a:graphic>
          </wp:inline>
        </w:drawing>
      </w:r>
    </w:p>
    <w:p w14:paraId="74B41523" w14:textId="77777777" w:rsidR="00283CC6" w:rsidRPr="00575A7E" w:rsidRDefault="00283CC6" w:rsidP="003B1BE9">
      <w:pPr>
        <w:autoSpaceDE w:val="0"/>
        <w:autoSpaceDN w:val="0"/>
        <w:adjustRightInd w:val="0"/>
        <w:spacing w:after="0" w:line="276" w:lineRule="auto"/>
        <w:jc w:val="center"/>
        <w:rPr>
          <w:rFonts w:ascii="Calibri" w:eastAsia="Calibri" w:hAnsi="Calibri" w:cs="Times New Roman"/>
          <w:color w:val="595959"/>
        </w:rPr>
      </w:pPr>
    </w:p>
    <w:p w14:paraId="3B9BDB0C"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Ειδικά για τον μήνα Δεκέμβριο του 2020, το έλλειμα του ισοζυγίου τρεχουσών συναλλαγών μειώθηκε κατά 81,5 εκατ. ευρώ σε ετήσια βάση, εξέλιξη που οφείλεται κυρίως στη μείωση του πλεονάσματος στο ισοζύγιο υπηρεσιών (κατά 280,1 εκατ. ευρώ).</w:t>
      </w:r>
    </w:p>
    <w:p w14:paraId="652F3499"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p>
    <w:p w14:paraId="5F01B83B" w14:textId="77777777" w:rsidR="00283CC6" w:rsidRPr="00575A7E" w:rsidRDefault="00283CC6" w:rsidP="003B1BE9">
      <w:pPr>
        <w:pStyle w:val="3"/>
        <w:spacing w:before="0" w:line="276" w:lineRule="auto"/>
        <w:jc w:val="both"/>
        <w:rPr>
          <w:rFonts w:eastAsia="Times New Roman"/>
        </w:rPr>
      </w:pPr>
      <w:bookmarkStart w:id="52" w:name="_Toc50496799"/>
      <w:bookmarkStart w:id="53" w:name="_Toc56073718"/>
      <w:bookmarkStart w:id="54" w:name="_Toc50131945"/>
      <w:bookmarkStart w:id="55" w:name="_Toc67401903"/>
      <w:r w:rsidRPr="00575A7E">
        <w:rPr>
          <w:rFonts w:eastAsia="Times New Roman"/>
        </w:rPr>
        <w:t>Ανεργία</w:t>
      </w:r>
      <w:bookmarkEnd w:id="52"/>
      <w:bookmarkEnd w:id="53"/>
      <w:bookmarkEnd w:id="55"/>
    </w:p>
    <w:p w14:paraId="544F9BF9" w14:textId="77777777" w:rsidR="00283CC6" w:rsidRPr="00575A7E" w:rsidRDefault="00283CC6" w:rsidP="003B1BE9">
      <w:pPr>
        <w:spacing w:after="0" w:line="276" w:lineRule="auto"/>
        <w:jc w:val="both"/>
      </w:pPr>
    </w:p>
    <w:p w14:paraId="0D1F8763" w14:textId="5FB4FD30" w:rsidR="00283CC6" w:rsidRPr="00B3477B" w:rsidRDefault="00E83C98" w:rsidP="003B1BE9">
      <w:pPr>
        <w:autoSpaceDE w:val="0"/>
        <w:autoSpaceDN w:val="0"/>
        <w:adjustRightInd w:val="0"/>
        <w:spacing w:after="240" w:line="276" w:lineRule="auto"/>
        <w:jc w:val="both"/>
        <w:rPr>
          <w:rFonts w:ascii="Calibri" w:eastAsia="Calibri" w:hAnsi="Calibri" w:cs="Times New Roman"/>
          <w:color w:val="595959"/>
        </w:rPr>
      </w:pPr>
      <w:r>
        <w:rPr>
          <w:rFonts w:ascii="Calibri" w:eastAsia="Calibri" w:hAnsi="Calibri" w:cs="Times New Roman"/>
          <w:color w:val="595959"/>
        </w:rPr>
        <w:t>Τ</w:t>
      </w:r>
      <w:r w:rsidR="00283CC6" w:rsidRPr="00575A7E">
        <w:rPr>
          <w:rFonts w:ascii="Calibri" w:eastAsia="Calibri" w:hAnsi="Calibri" w:cs="Times New Roman"/>
          <w:color w:val="595959"/>
        </w:rPr>
        <w:t xml:space="preserve">ο </w:t>
      </w:r>
      <w:hyperlink r:id="rId52" w:history="1">
        <w:r w:rsidR="00283CC6" w:rsidRPr="00575A7E">
          <w:rPr>
            <w:rFonts w:ascii="Calibri" w:eastAsia="Calibri" w:hAnsi="Calibri" w:cs="Times New Roman"/>
            <w:color w:val="595959"/>
            <w:u w:val="single"/>
          </w:rPr>
          <w:t>ποσοστό ανεργίας</w:t>
        </w:r>
      </w:hyperlink>
      <w:r w:rsidR="00283CC6" w:rsidRPr="00575A7E">
        <w:rPr>
          <w:rFonts w:ascii="Calibri" w:eastAsia="Calibri" w:hAnsi="Calibri" w:cs="Times New Roman"/>
          <w:color w:val="595959"/>
        </w:rPr>
        <w:t xml:space="preserve"> στην Ελλάδα το </w:t>
      </w:r>
      <w:bookmarkStart w:id="56" w:name="_Hlk65697410"/>
      <w:r w:rsidR="00283CC6" w:rsidRPr="00575A7E">
        <w:rPr>
          <w:rFonts w:ascii="Calibri" w:eastAsia="Calibri" w:hAnsi="Calibri" w:cs="Times New Roman"/>
          <w:color w:val="595959"/>
        </w:rPr>
        <w:t xml:space="preserve">τρίτο </w:t>
      </w:r>
      <w:bookmarkEnd w:id="56"/>
      <w:r w:rsidR="00283CC6" w:rsidRPr="00575A7E">
        <w:rPr>
          <w:rFonts w:ascii="Calibri" w:eastAsia="Calibri" w:hAnsi="Calibri" w:cs="Times New Roman"/>
          <w:color w:val="595959"/>
        </w:rPr>
        <w:t xml:space="preserve">τρίμηνο του 2020 διαμορφώθηκε στο </w:t>
      </w:r>
      <w:r w:rsidR="00283CC6" w:rsidRPr="00575A7E">
        <w:rPr>
          <w:rFonts w:ascii="Calibri" w:eastAsia="Calibri" w:hAnsi="Calibri" w:cs="Times New Roman"/>
          <w:bCs/>
          <w:color w:val="595959"/>
        </w:rPr>
        <w:t>16,2</w:t>
      </w:r>
      <w:r w:rsidR="00283CC6" w:rsidRPr="00575A7E">
        <w:rPr>
          <w:rFonts w:ascii="Calibri" w:eastAsia="Calibri" w:hAnsi="Calibri" w:cs="Times New Roman"/>
          <w:color w:val="595959"/>
        </w:rPr>
        <w:t xml:space="preserve">%, ελαφρώς μειωμένο σε ετήσια βάση σε σύγκριση με το αντίστοιχο τρίμηνο του 2019 (16,4%), αλλά και σε σχέση με το προηγούμενο τρίμηνο (16,7%). Στην Ευρωζώνη, το ποσοστό ανεργίας το τρίτο τρίμηνο του 2020 διαμορφώθηκε στο 8,4%, αυξημένο </w:t>
      </w:r>
      <w:r w:rsidR="00283CC6" w:rsidRPr="00B3477B">
        <w:rPr>
          <w:rFonts w:ascii="Calibri" w:eastAsia="Calibri" w:hAnsi="Calibri" w:cs="Times New Roman"/>
          <w:color w:val="595959"/>
        </w:rPr>
        <w:t>κατά 1,1 ποσοστιαίες μονάδες τόσο σε τριμηνιαία όσο και σε ετήσια βάση.</w:t>
      </w:r>
    </w:p>
    <w:p w14:paraId="0D9991F9"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r w:rsidRPr="00D47240">
        <w:rPr>
          <w:rFonts w:ascii="Calibri" w:eastAsia="Calibri" w:hAnsi="Calibri" w:cs="Times New Roman"/>
          <w:color w:val="595959"/>
        </w:rPr>
        <w:t xml:space="preserve">Σύμφωνα </w:t>
      </w:r>
      <w:r w:rsidRPr="00B3477B">
        <w:rPr>
          <w:rFonts w:ascii="Calibri" w:eastAsia="Calibri" w:hAnsi="Calibri" w:cs="Times New Roman"/>
          <w:color w:val="595959"/>
        </w:rPr>
        <w:t xml:space="preserve">με τη </w:t>
      </w:r>
      <w:hyperlink r:id="rId53" w:history="1">
        <w:r w:rsidR="00B3477B" w:rsidRPr="00B3477B">
          <w:rPr>
            <w:rStyle w:val="-"/>
            <w:color w:val="595959"/>
          </w:rPr>
          <w:t>Μηνιαία Έρευνα Εργατικού Δυναμικού της ΕΛΣΤΑΤ</w:t>
        </w:r>
      </w:hyperlink>
      <w:r w:rsidRPr="00B3477B">
        <w:rPr>
          <w:rFonts w:ascii="Calibri" w:eastAsia="Calibri" w:hAnsi="Calibri" w:cs="Times New Roman"/>
          <w:color w:val="595959"/>
        </w:rPr>
        <w:t xml:space="preserve">, το εποχικά διορθωμένο </w:t>
      </w:r>
      <w:r w:rsidRPr="00D47240">
        <w:rPr>
          <w:rFonts w:ascii="Calibri" w:eastAsia="Calibri" w:hAnsi="Calibri" w:cs="Times New Roman"/>
          <w:color w:val="595959"/>
        </w:rPr>
        <w:t>ποσοστό ανεργίας</w:t>
      </w:r>
      <w:r w:rsidRPr="00B3477B">
        <w:rPr>
          <w:rFonts w:ascii="Calibri" w:eastAsia="Calibri" w:hAnsi="Calibri" w:cs="Times New Roman"/>
          <w:color w:val="595959"/>
        </w:rPr>
        <w:t xml:space="preserve"> τον </w:t>
      </w:r>
      <w:r w:rsidR="00D67394">
        <w:rPr>
          <w:rFonts w:ascii="Calibri" w:eastAsia="Calibri" w:hAnsi="Calibri" w:cs="Times New Roman"/>
          <w:color w:val="595959"/>
        </w:rPr>
        <w:t>Δεκέμβριο</w:t>
      </w:r>
      <w:r w:rsidR="00D67394" w:rsidRPr="00B3477B">
        <w:rPr>
          <w:rFonts w:ascii="Calibri" w:eastAsia="Calibri" w:hAnsi="Calibri" w:cs="Times New Roman"/>
          <w:color w:val="595959"/>
        </w:rPr>
        <w:t xml:space="preserve"> </w:t>
      </w:r>
      <w:r w:rsidRPr="00B3477B">
        <w:rPr>
          <w:rFonts w:ascii="Calibri" w:eastAsia="Calibri" w:hAnsi="Calibri" w:cs="Times New Roman"/>
          <w:color w:val="595959"/>
        </w:rPr>
        <w:t xml:space="preserve">του 2020 </w:t>
      </w:r>
      <w:r w:rsidRPr="00575A7E">
        <w:rPr>
          <w:rFonts w:ascii="Calibri" w:eastAsia="Calibri" w:hAnsi="Calibri" w:cs="Times New Roman"/>
          <w:color w:val="595959"/>
        </w:rPr>
        <w:t xml:space="preserve">διαμορφώθηκε σε </w:t>
      </w:r>
      <w:r w:rsidR="00D67394">
        <w:rPr>
          <w:rFonts w:ascii="Calibri" w:eastAsia="Calibri" w:hAnsi="Calibri" w:cs="Times New Roman"/>
          <w:color w:val="595959"/>
        </w:rPr>
        <w:t>15,8</w:t>
      </w:r>
      <w:r w:rsidRPr="00575A7E">
        <w:rPr>
          <w:rFonts w:ascii="Calibri" w:eastAsia="Calibri" w:hAnsi="Calibri" w:cs="Times New Roman"/>
          <w:color w:val="595959"/>
        </w:rPr>
        <w:t>% έναντι 16,</w:t>
      </w:r>
      <w:r w:rsidR="00B12B21">
        <w:rPr>
          <w:rFonts w:ascii="Calibri" w:eastAsia="Calibri" w:hAnsi="Calibri" w:cs="Times New Roman"/>
          <w:color w:val="595959"/>
        </w:rPr>
        <w:t>4</w:t>
      </w:r>
      <w:r w:rsidRPr="00575A7E">
        <w:rPr>
          <w:rFonts w:ascii="Calibri" w:eastAsia="Calibri" w:hAnsi="Calibri" w:cs="Times New Roman"/>
          <w:color w:val="595959"/>
        </w:rPr>
        <w:t>% τον ίδιο μήνα του προηγούμενου έτους και 16,</w:t>
      </w:r>
      <w:r w:rsidR="00B12B21">
        <w:rPr>
          <w:rFonts w:ascii="Calibri" w:eastAsia="Calibri" w:hAnsi="Calibri" w:cs="Times New Roman"/>
          <w:color w:val="595959"/>
        </w:rPr>
        <w:t>2</w:t>
      </w:r>
      <w:r w:rsidRPr="00575A7E">
        <w:rPr>
          <w:rFonts w:ascii="Calibri" w:eastAsia="Calibri" w:hAnsi="Calibri" w:cs="Times New Roman"/>
          <w:color w:val="595959"/>
        </w:rPr>
        <w:t xml:space="preserve">% τον </w:t>
      </w:r>
      <w:r w:rsidR="00B12B21">
        <w:rPr>
          <w:rFonts w:ascii="Calibri" w:eastAsia="Calibri" w:hAnsi="Calibri" w:cs="Times New Roman"/>
          <w:color w:val="595959"/>
        </w:rPr>
        <w:t>Νοέμβριο</w:t>
      </w:r>
      <w:r w:rsidR="00B12B21" w:rsidRPr="00575A7E">
        <w:rPr>
          <w:rFonts w:ascii="Calibri" w:eastAsia="Calibri" w:hAnsi="Calibri" w:cs="Times New Roman"/>
          <w:color w:val="595959"/>
        </w:rPr>
        <w:t xml:space="preserve"> </w:t>
      </w:r>
      <w:r w:rsidRPr="00575A7E">
        <w:rPr>
          <w:rFonts w:ascii="Calibri" w:eastAsia="Calibri" w:hAnsi="Calibri" w:cs="Times New Roman"/>
          <w:color w:val="595959"/>
        </w:rPr>
        <w:t xml:space="preserve">του 2020. Ο αριθμός των ανέργων τον </w:t>
      </w:r>
      <w:r w:rsidR="00B12B21" w:rsidRPr="00B12B21">
        <w:rPr>
          <w:rFonts w:ascii="Calibri" w:eastAsia="Calibri" w:hAnsi="Calibri" w:cs="Times New Roman"/>
          <w:color w:val="595959"/>
        </w:rPr>
        <w:t xml:space="preserve">Δεκέμβριο </w:t>
      </w:r>
      <w:r w:rsidRPr="00B3477B">
        <w:rPr>
          <w:rFonts w:ascii="Calibri" w:eastAsia="Calibri" w:hAnsi="Calibri" w:cs="Times New Roman"/>
          <w:color w:val="595959"/>
        </w:rPr>
        <w:t>του</w:t>
      </w:r>
      <w:r w:rsidRPr="00575A7E">
        <w:rPr>
          <w:rFonts w:ascii="Calibri" w:eastAsia="Calibri" w:hAnsi="Calibri" w:cs="Times New Roman"/>
          <w:color w:val="595959"/>
        </w:rPr>
        <w:t xml:space="preserve"> 2020 ανήλθε σε </w:t>
      </w:r>
      <w:r w:rsidR="00B12B21">
        <w:rPr>
          <w:rFonts w:ascii="Calibri" w:eastAsia="Calibri" w:hAnsi="Calibri" w:cs="Times New Roman"/>
          <w:color w:val="595959"/>
        </w:rPr>
        <w:t>726,360</w:t>
      </w:r>
      <w:r w:rsidRPr="00575A7E">
        <w:rPr>
          <w:rFonts w:ascii="Calibri" w:eastAsia="Calibri" w:hAnsi="Calibri" w:cs="Times New Roman"/>
          <w:color w:val="595959"/>
        </w:rPr>
        <w:t xml:space="preserve"> άτομα, μειωμένοι κατά </w:t>
      </w:r>
      <w:r w:rsidR="00B12B21">
        <w:rPr>
          <w:rFonts w:ascii="Calibri" w:eastAsia="Calibri" w:hAnsi="Calibri" w:cs="Times New Roman"/>
          <w:color w:val="595959"/>
        </w:rPr>
        <w:t xml:space="preserve">44,853 </w:t>
      </w:r>
      <w:r w:rsidRPr="00575A7E">
        <w:rPr>
          <w:rFonts w:ascii="Calibri" w:eastAsia="Calibri" w:hAnsi="Calibri" w:cs="Times New Roman"/>
          <w:color w:val="595959"/>
        </w:rPr>
        <w:t xml:space="preserve">άτομα σε σχέση με τον </w:t>
      </w:r>
      <w:r w:rsidR="00B12B21" w:rsidRPr="00B12B21">
        <w:rPr>
          <w:rFonts w:ascii="Calibri" w:eastAsia="Calibri" w:hAnsi="Calibri" w:cs="Times New Roman"/>
          <w:color w:val="595959"/>
        </w:rPr>
        <w:t xml:space="preserve">Δεκέμβριο </w:t>
      </w:r>
      <w:r w:rsidRPr="00575A7E">
        <w:rPr>
          <w:rFonts w:ascii="Calibri" w:eastAsia="Calibri" w:hAnsi="Calibri" w:cs="Times New Roman"/>
          <w:color w:val="595959"/>
        </w:rPr>
        <w:t xml:space="preserve">του 2019 (μείωση </w:t>
      </w:r>
      <w:r w:rsidR="00B12B21">
        <w:rPr>
          <w:rFonts w:ascii="Calibri" w:eastAsia="Calibri" w:hAnsi="Calibri" w:cs="Times New Roman"/>
          <w:color w:val="595959"/>
        </w:rPr>
        <w:t>5,8</w:t>
      </w:r>
      <w:r w:rsidRPr="00575A7E">
        <w:rPr>
          <w:rFonts w:ascii="Calibri" w:eastAsia="Calibri" w:hAnsi="Calibri" w:cs="Times New Roman"/>
          <w:color w:val="595959"/>
        </w:rPr>
        <w:t xml:space="preserve">%) και κατά </w:t>
      </w:r>
      <w:r w:rsidR="00394974">
        <w:rPr>
          <w:rFonts w:ascii="Calibri" w:eastAsia="Calibri" w:hAnsi="Calibri" w:cs="Times New Roman"/>
          <w:color w:val="595959"/>
        </w:rPr>
        <w:t>24,332</w:t>
      </w:r>
      <w:r w:rsidRPr="00575A7E">
        <w:rPr>
          <w:rFonts w:ascii="Calibri" w:eastAsia="Calibri" w:hAnsi="Calibri" w:cs="Times New Roman"/>
          <w:color w:val="595959"/>
        </w:rPr>
        <w:t xml:space="preserve"> άτομα σε σχέση με τον </w:t>
      </w:r>
      <w:r w:rsidR="00394974" w:rsidRPr="00394974">
        <w:rPr>
          <w:rFonts w:ascii="Calibri" w:eastAsia="Calibri" w:hAnsi="Calibri" w:cs="Times New Roman"/>
          <w:color w:val="595959"/>
        </w:rPr>
        <w:t xml:space="preserve">Νοέμβριο </w:t>
      </w:r>
      <w:r w:rsidRPr="00575A7E">
        <w:rPr>
          <w:rFonts w:ascii="Calibri" w:eastAsia="Calibri" w:hAnsi="Calibri" w:cs="Times New Roman"/>
          <w:color w:val="595959"/>
        </w:rPr>
        <w:t xml:space="preserve">του 2020 (μείωση </w:t>
      </w:r>
      <w:r w:rsidR="00394974">
        <w:rPr>
          <w:rFonts w:ascii="Calibri" w:eastAsia="Calibri" w:hAnsi="Calibri" w:cs="Times New Roman"/>
          <w:color w:val="595959"/>
        </w:rPr>
        <w:t>3,2</w:t>
      </w:r>
      <w:r w:rsidRPr="00575A7E">
        <w:rPr>
          <w:rFonts w:ascii="Calibri" w:eastAsia="Calibri" w:hAnsi="Calibri" w:cs="Times New Roman"/>
          <w:color w:val="595959"/>
        </w:rPr>
        <w:t xml:space="preserve">%). Τα μέτρα στήριξης, σε συνδυασμό με τη </w:t>
      </w:r>
      <w:r w:rsidR="00D62CFB">
        <w:rPr>
          <w:rFonts w:ascii="Calibri" w:eastAsia="Calibri" w:hAnsi="Calibri" w:cs="Times New Roman"/>
          <w:color w:val="595959"/>
        </w:rPr>
        <w:t xml:space="preserve">μεγάλη </w:t>
      </w:r>
      <w:r w:rsidRPr="00575A7E">
        <w:rPr>
          <w:rFonts w:ascii="Calibri" w:eastAsia="Calibri" w:hAnsi="Calibri" w:cs="Times New Roman"/>
          <w:color w:val="595959"/>
        </w:rPr>
        <w:t>μείωση του ε</w:t>
      </w:r>
      <w:r w:rsidR="00D62CFB">
        <w:rPr>
          <w:rFonts w:ascii="Calibri" w:eastAsia="Calibri" w:hAnsi="Calibri" w:cs="Times New Roman"/>
          <w:color w:val="595959"/>
        </w:rPr>
        <w:t>ργατικού</w:t>
      </w:r>
      <w:r w:rsidRPr="00575A7E">
        <w:rPr>
          <w:rFonts w:ascii="Calibri" w:eastAsia="Calibri" w:hAnsi="Calibri" w:cs="Times New Roman"/>
          <w:color w:val="595959"/>
        </w:rPr>
        <w:t xml:space="preserve"> δυναμικ</w:t>
      </w:r>
      <w:r w:rsidR="00D62CFB">
        <w:rPr>
          <w:rFonts w:ascii="Calibri" w:eastAsia="Calibri" w:hAnsi="Calibri" w:cs="Times New Roman"/>
          <w:color w:val="595959"/>
        </w:rPr>
        <w:t>ού</w:t>
      </w:r>
      <w:r w:rsidRPr="00575A7E">
        <w:rPr>
          <w:rFonts w:ascii="Calibri" w:eastAsia="Calibri" w:hAnsi="Calibri" w:cs="Times New Roman"/>
          <w:color w:val="595959"/>
        </w:rPr>
        <w:t>, συνέβαλαν στο να αποτραπεί μια αύξηση της ανεργίας.</w:t>
      </w:r>
    </w:p>
    <w:p w14:paraId="5781A8FD" w14:textId="4A1DF01C" w:rsidR="009926BC" w:rsidRDefault="009926BC">
      <w:pPr>
        <w:rPr>
          <w:rFonts w:ascii="Calibri" w:eastAsia="Calibri" w:hAnsi="Calibri" w:cs="Times New Roman"/>
          <w:color w:val="595959"/>
        </w:rPr>
      </w:pPr>
      <w:r>
        <w:rPr>
          <w:rFonts w:ascii="Calibri" w:eastAsia="Calibri" w:hAnsi="Calibri" w:cs="Times New Roman"/>
          <w:color w:val="595959"/>
        </w:rPr>
        <w:br w:type="page"/>
      </w:r>
    </w:p>
    <w:p w14:paraId="243CE035" w14:textId="62B3922D" w:rsidR="00283CC6" w:rsidRPr="00575A7E" w:rsidRDefault="00D960BC" w:rsidP="00D960BC">
      <w:pPr>
        <w:pStyle w:val="ae"/>
        <w:jc w:val="center"/>
      </w:pPr>
      <w:bookmarkStart w:id="57" w:name="_Toc56073787"/>
      <w:bookmarkStart w:id="58" w:name="_Toc67396695"/>
      <w:r>
        <w:lastRenderedPageBreak/>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5</w:t>
      </w:r>
      <w:r w:rsidR="0096217C">
        <w:rPr>
          <w:noProof/>
        </w:rPr>
        <w:fldChar w:fldCharType="end"/>
      </w:r>
      <w:r w:rsidR="00283CC6" w:rsidRPr="00575A7E">
        <w:t xml:space="preserve"> Ποσοστό ανεργίας, Ελλάδα και Ευρωζώνη</w:t>
      </w:r>
      <w:bookmarkEnd w:id="57"/>
      <w:bookmarkEnd w:id="58"/>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37"/>
      </w:tblGrid>
      <w:tr w:rsidR="00283CC6" w:rsidRPr="00575A7E" w14:paraId="095432C7" w14:textId="77777777" w:rsidTr="006D482B">
        <w:tc>
          <w:tcPr>
            <w:tcW w:w="8522" w:type="dxa"/>
            <w:gridSpan w:val="2"/>
          </w:tcPr>
          <w:p w14:paraId="4E72131E" w14:textId="77777777" w:rsidR="00283CC6" w:rsidRPr="00575A7E" w:rsidRDefault="00283CC6" w:rsidP="003B1BE9">
            <w:pPr>
              <w:pStyle w:val="ae"/>
              <w:spacing w:after="0" w:line="276" w:lineRule="auto"/>
              <w:jc w:val="both"/>
              <w:rPr>
                <w:rFonts w:ascii="Calibri" w:eastAsia="Calibri" w:hAnsi="Calibri" w:cs="Times New Roman"/>
                <w:i w:val="0"/>
                <w:iCs w:val="0"/>
                <w:color w:val="44546A"/>
              </w:rPr>
            </w:pPr>
          </w:p>
        </w:tc>
      </w:tr>
      <w:tr w:rsidR="00283CC6" w:rsidRPr="00575A7E" w14:paraId="00D2EF38" w14:textId="77777777" w:rsidTr="006D482B">
        <w:tc>
          <w:tcPr>
            <w:tcW w:w="4253" w:type="dxa"/>
          </w:tcPr>
          <w:p w14:paraId="7E2CBDB4" w14:textId="77777777" w:rsidR="00283CC6" w:rsidRPr="00575A7E" w:rsidRDefault="00283CC6" w:rsidP="003B1BE9">
            <w:pPr>
              <w:autoSpaceDE w:val="0"/>
              <w:autoSpaceDN w:val="0"/>
              <w:adjustRightInd w:val="0"/>
              <w:spacing w:line="276" w:lineRule="auto"/>
              <w:jc w:val="center"/>
              <w:rPr>
                <w:rFonts w:ascii="Calibri" w:eastAsia="Calibri" w:hAnsi="Calibri" w:cs="Times New Roman"/>
                <w:i/>
                <w:color w:val="595959"/>
                <w:sz w:val="18"/>
                <w:szCs w:val="18"/>
              </w:rPr>
            </w:pPr>
            <w:r w:rsidRPr="00575A7E">
              <w:rPr>
                <w:rFonts w:ascii="Calibri" w:eastAsia="Calibri" w:hAnsi="Calibri" w:cs="Times New Roman"/>
                <w:i/>
                <w:color w:val="595959"/>
                <w:sz w:val="18"/>
                <w:szCs w:val="18"/>
              </w:rPr>
              <w:t>4Α Ανεργία στο σύνολο του πληθυσμού (15-74 ετών)</w:t>
            </w:r>
          </w:p>
        </w:tc>
        <w:tc>
          <w:tcPr>
            <w:tcW w:w="4269" w:type="dxa"/>
          </w:tcPr>
          <w:p w14:paraId="15769230" w14:textId="77777777" w:rsidR="00283CC6" w:rsidRPr="00575A7E" w:rsidRDefault="00283CC6" w:rsidP="003B1BE9">
            <w:pPr>
              <w:autoSpaceDE w:val="0"/>
              <w:autoSpaceDN w:val="0"/>
              <w:adjustRightInd w:val="0"/>
              <w:spacing w:line="276" w:lineRule="auto"/>
              <w:jc w:val="center"/>
              <w:rPr>
                <w:rFonts w:ascii="Calibri" w:eastAsia="Calibri" w:hAnsi="Calibri" w:cs="Times New Roman"/>
                <w:i/>
                <w:color w:val="595959"/>
                <w:sz w:val="18"/>
                <w:szCs w:val="18"/>
              </w:rPr>
            </w:pPr>
            <w:r w:rsidRPr="00575A7E">
              <w:rPr>
                <w:rFonts w:ascii="Calibri" w:eastAsia="Calibri" w:hAnsi="Calibri" w:cs="Times New Roman"/>
                <w:i/>
                <w:color w:val="595959"/>
                <w:sz w:val="18"/>
                <w:szCs w:val="18"/>
              </w:rPr>
              <w:t>4Β Ανεργία στους νέους (15-24 ετών)</w:t>
            </w:r>
          </w:p>
        </w:tc>
      </w:tr>
      <w:tr w:rsidR="00283CC6" w:rsidRPr="00575A7E" w14:paraId="15020273" w14:textId="77777777" w:rsidTr="006D482B">
        <w:tc>
          <w:tcPr>
            <w:tcW w:w="4253" w:type="dxa"/>
          </w:tcPr>
          <w:p w14:paraId="372FD82A" w14:textId="77777777" w:rsidR="00283CC6" w:rsidRPr="00575A7E" w:rsidRDefault="00283CC6" w:rsidP="003B1BE9">
            <w:pPr>
              <w:autoSpaceDE w:val="0"/>
              <w:autoSpaceDN w:val="0"/>
              <w:adjustRightInd w:val="0"/>
              <w:spacing w:before="240" w:line="276" w:lineRule="auto"/>
              <w:jc w:val="center"/>
              <w:rPr>
                <w:rFonts w:ascii="Calibri" w:eastAsia="Calibri" w:hAnsi="Calibri" w:cs="Times New Roman"/>
                <w:color w:val="595959"/>
              </w:rPr>
            </w:pPr>
            <w:r w:rsidRPr="00575A7E">
              <w:rPr>
                <w:rFonts w:ascii="Calibri" w:eastAsia="Calibri" w:hAnsi="Calibri" w:cs="Times New Roman"/>
                <w:noProof/>
                <w:color w:val="595959"/>
                <w:lang w:eastAsia="el-GR"/>
              </w:rPr>
              <w:drawing>
                <wp:inline distT="0" distB="0" distL="0" distR="0" wp14:anchorId="4166F10B" wp14:editId="253A0FE9">
                  <wp:extent cx="2533650" cy="220281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34093" cy="2203200"/>
                          </a:xfrm>
                          <a:prstGeom prst="rect">
                            <a:avLst/>
                          </a:prstGeom>
                        </pic:spPr>
                      </pic:pic>
                    </a:graphicData>
                  </a:graphic>
                </wp:inline>
              </w:drawing>
            </w:r>
          </w:p>
        </w:tc>
        <w:tc>
          <w:tcPr>
            <w:tcW w:w="4269" w:type="dxa"/>
          </w:tcPr>
          <w:p w14:paraId="41848C2A" w14:textId="77777777" w:rsidR="00283CC6" w:rsidRPr="00575A7E" w:rsidRDefault="00283CC6" w:rsidP="003B1BE9">
            <w:pPr>
              <w:keepNext/>
              <w:autoSpaceDE w:val="0"/>
              <w:autoSpaceDN w:val="0"/>
              <w:adjustRightInd w:val="0"/>
              <w:spacing w:before="240" w:line="276" w:lineRule="auto"/>
              <w:jc w:val="center"/>
              <w:rPr>
                <w:rFonts w:ascii="Calibri" w:eastAsia="Calibri" w:hAnsi="Calibri" w:cs="Times New Roman"/>
                <w:color w:val="595959"/>
              </w:rPr>
            </w:pPr>
            <w:r w:rsidRPr="00575A7E">
              <w:rPr>
                <w:rFonts w:ascii="Calibri" w:eastAsia="Calibri" w:hAnsi="Calibri" w:cs="Times New Roman"/>
                <w:noProof/>
                <w:color w:val="595959"/>
                <w:lang w:eastAsia="el-GR"/>
              </w:rPr>
              <w:drawing>
                <wp:inline distT="0" distB="0" distL="0" distR="0" wp14:anchorId="3F811A1D" wp14:editId="56D3946A">
                  <wp:extent cx="2782800" cy="22140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82800" cy="2214000"/>
                          </a:xfrm>
                          <a:prstGeom prst="rect">
                            <a:avLst/>
                          </a:prstGeom>
                        </pic:spPr>
                      </pic:pic>
                    </a:graphicData>
                  </a:graphic>
                </wp:inline>
              </w:drawing>
            </w:r>
          </w:p>
        </w:tc>
      </w:tr>
    </w:tbl>
    <w:p w14:paraId="0924AB6E" w14:textId="77777777" w:rsidR="00283CC6" w:rsidRPr="00575A7E" w:rsidRDefault="00283CC6" w:rsidP="003B1BE9">
      <w:pPr>
        <w:autoSpaceDE w:val="0"/>
        <w:autoSpaceDN w:val="0"/>
        <w:adjustRightInd w:val="0"/>
        <w:spacing w:after="0" w:line="276" w:lineRule="auto"/>
        <w:jc w:val="both"/>
        <w:rPr>
          <w:color w:val="595959"/>
        </w:rPr>
      </w:pPr>
    </w:p>
    <w:p w14:paraId="5ED15088" w14:textId="445E9F3F"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r w:rsidRPr="00575A7E">
        <w:rPr>
          <w:rFonts w:cs="Times New Roman"/>
          <w:color w:val="595959"/>
        </w:rPr>
        <w:t xml:space="preserve">Η </w:t>
      </w:r>
      <w:hyperlink r:id="rId56" w:history="1">
        <w:r w:rsidRPr="00575A7E">
          <w:rPr>
            <w:rStyle w:val="-"/>
            <w:rFonts w:cs="Times New Roman"/>
            <w:color w:val="595959"/>
          </w:rPr>
          <w:t>ανεργία στους νέους κάτω των 25 ετών</w:t>
        </w:r>
      </w:hyperlink>
      <w:r w:rsidRPr="00575A7E">
        <w:rPr>
          <w:rFonts w:cs="Times New Roman"/>
          <w:color w:val="595959"/>
        </w:rPr>
        <w:t xml:space="preserve"> </w:t>
      </w:r>
      <w:r w:rsidRPr="00575A7E">
        <w:rPr>
          <w:rFonts w:ascii="Calibri" w:eastAsia="Calibri" w:hAnsi="Calibri" w:cs="Times New Roman"/>
          <w:color w:val="595959"/>
        </w:rPr>
        <w:t>ήταν 34,2% το τρίτο τρίμηνο του 2020, αυξημένη σε σχέση με το αντίστοιχο τρίμηνο του 2019 (32,4%)</w:t>
      </w:r>
      <w:r w:rsidR="00357835">
        <w:rPr>
          <w:rFonts w:ascii="Calibri" w:eastAsia="Calibri" w:hAnsi="Calibri" w:cs="Times New Roman"/>
          <w:color w:val="595959"/>
        </w:rPr>
        <w:t>,</w:t>
      </w:r>
      <w:r w:rsidRPr="00575A7E">
        <w:rPr>
          <w:rFonts w:ascii="Calibri" w:eastAsia="Calibri" w:hAnsi="Calibri" w:cs="Times New Roman"/>
          <w:color w:val="595959"/>
        </w:rPr>
        <w:t xml:space="preserve"> αλλά μειωμένη σε σχέση με το προηγούμενο τρίμηνο (36,0%). Το αντίστοιχο ποσοστό στην Ευρωζώνη το τρίτο τρίμηνο του 2020 ήταν 19,0%, αυξημένο τόσο σε σχέση με το αντίστοιχο τρίμηνο του 2019 (15,6%) όσο και σε σχέση με το προηγούμενο τρίμηνο (17,1%). Επιπλέον, </w:t>
      </w:r>
      <w:r w:rsidRPr="00575A7E">
        <w:rPr>
          <w:rFonts w:ascii="Calibri" w:eastAsia="Calibri" w:hAnsi="Calibri" w:cs="Times New Roman"/>
          <w:color w:val="595959" w:themeColor="text1" w:themeTint="A6"/>
        </w:rPr>
        <w:t xml:space="preserve">σύμφωνα με </w:t>
      </w:r>
      <w:r w:rsidRPr="00575A7E">
        <w:rPr>
          <w:rFonts w:ascii="Calibri" w:eastAsia="Calibri" w:hAnsi="Calibri" w:cs="Times New Roman"/>
          <w:color w:val="595959"/>
        </w:rPr>
        <w:t xml:space="preserve">τη </w:t>
      </w:r>
      <w:hyperlink r:id="rId57" w:history="1">
        <w:r w:rsidR="00363095" w:rsidRPr="00363095">
          <w:rPr>
            <w:rStyle w:val="-"/>
            <w:rFonts w:ascii="Calibri" w:eastAsia="Calibri" w:hAnsi="Calibri" w:cs="Times New Roman"/>
            <w:color w:val="595959"/>
          </w:rPr>
          <w:t xml:space="preserve">Μηνιαία Έρευνα Εργατικού Δυναμικού της </w:t>
        </w:r>
        <w:proofErr w:type="spellStart"/>
        <w:r w:rsidR="00363095" w:rsidRPr="00363095">
          <w:rPr>
            <w:rStyle w:val="-"/>
            <w:rFonts w:ascii="Calibri" w:eastAsia="Calibri" w:hAnsi="Calibri" w:cs="Times New Roman"/>
            <w:color w:val="595959"/>
          </w:rPr>
          <w:t>ΕΛΣΤΑΤ</w:t>
        </w:r>
      </w:hyperlink>
      <w:r w:rsidR="00357835">
        <w:rPr>
          <w:rStyle w:val="-"/>
          <w:rFonts w:ascii="Calibri" w:eastAsia="Calibri" w:hAnsi="Calibri" w:cs="Times New Roman"/>
          <w:color w:val="595959"/>
          <w:u w:val="none"/>
        </w:rPr>
        <w:t>,</w:t>
      </w:r>
      <w:r w:rsidRPr="00363095">
        <w:rPr>
          <w:rFonts w:ascii="Calibri" w:eastAsia="Calibri" w:hAnsi="Calibri" w:cs="Times New Roman"/>
          <w:color w:val="595959"/>
        </w:rPr>
        <w:t>η</w:t>
      </w:r>
      <w:proofErr w:type="spellEnd"/>
      <w:r w:rsidRPr="00363095">
        <w:rPr>
          <w:rFonts w:ascii="Calibri" w:eastAsia="Calibri" w:hAnsi="Calibri" w:cs="Times New Roman"/>
          <w:color w:val="595959"/>
        </w:rPr>
        <w:t xml:space="preserve"> ανεργία των νέων κάτω των 25 ετών σ</w:t>
      </w:r>
      <w:r w:rsidRPr="00575A7E">
        <w:rPr>
          <w:rFonts w:ascii="Calibri" w:eastAsia="Calibri" w:hAnsi="Calibri" w:cs="Times New Roman"/>
          <w:color w:val="595959"/>
        </w:rPr>
        <w:t xml:space="preserve">την Ελλάδα διαμορφώθηκε σε </w:t>
      </w:r>
      <w:r w:rsidR="00363095">
        <w:rPr>
          <w:rFonts w:ascii="Calibri" w:eastAsia="Calibri" w:hAnsi="Calibri" w:cs="Times New Roman"/>
          <w:color w:val="595959"/>
        </w:rPr>
        <w:t>34,2</w:t>
      </w:r>
      <w:r w:rsidRPr="00575A7E">
        <w:rPr>
          <w:rFonts w:ascii="Calibri" w:eastAsia="Calibri" w:hAnsi="Calibri" w:cs="Times New Roman"/>
          <w:color w:val="595959"/>
        </w:rPr>
        <w:t xml:space="preserve">% τον </w:t>
      </w:r>
      <w:bookmarkStart w:id="59" w:name="_Hlk65701509"/>
      <w:r w:rsidR="00363095" w:rsidRPr="00363095">
        <w:rPr>
          <w:rFonts w:ascii="Calibri" w:eastAsia="Calibri" w:hAnsi="Calibri" w:cs="Times New Roman"/>
          <w:color w:val="595959"/>
        </w:rPr>
        <w:t xml:space="preserve">Δεκέμβριο </w:t>
      </w:r>
      <w:bookmarkEnd w:id="59"/>
      <w:r w:rsidRPr="00575A7E">
        <w:rPr>
          <w:rFonts w:ascii="Calibri" w:eastAsia="Calibri" w:hAnsi="Calibri" w:cs="Times New Roman"/>
          <w:color w:val="595959"/>
        </w:rPr>
        <w:t xml:space="preserve">του 2020 έναντι </w:t>
      </w:r>
      <w:r w:rsidR="00363095">
        <w:rPr>
          <w:rFonts w:ascii="Calibri" w:eastAsia="Calibri" w:hAnsi="Calibri" w:cs="Times New Roman"/>
          <w:color w:val="595959"/>
        </w:rPr>
        <w:t>33,0</w:t>
      </w:r>
      <w:r w:rsidRPr="00575A7E">
        <w:rPr>
          <w:rFonts w:ascii="Calibri" w:eastAsia="Calibri" w:hAnsi="Calibri" w:cs="Times New Roman"/>
          <w:color w:val="595959"/>
        </w:rPr>
        <w:t xml:space="preserve">% τον </w:t>
      </w:r>
      <w:r w:rsidR="00363095" w:rsidRPr="00363095">
        <w:rPr>
          <w:rFonts w:ascii="Calibri" w:eastAsia="Calibri" w:hAnsi="Calibri" w:cs="Times New Roman"/>
          <w:color w:val="595959"/>
        </w:rPr>
        <w:t xml:space="preserve">Δεκέμβριο </w:t>
      </w:r>
      <w:r w:rsidRPr="00575A7E">
        <w:rPr>
          <w:rFonts w:ascii="Calibri" w:eastAsia="Calibri" w:hAnsi="Calibri" w:cs="Times New Roman"/>
          <w:color w:val="595959"/>
        </w:rPr>
        <w:t>του 2019.</w:t>
      </w:r>
    </w:p>
    <w:p w14:paraId="1F0B6CBE"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p>
    <w:p w14:paraId="145767C1" w14:textId="77777777" w:rsidR="00283CC6" w:rsidRPr="00575A7E" w:rsidRDefault="00283CC6" w:rsidP="003B1BE9">
      <w:pPr>
        <w:pStyle w:val="3"/>
        <w:spacing w:before="0" w:line="276" w:lineRule="auto"/>
        <w:jc w:val="both"/>
        <w:rPr>
          <w:rFonts w:eastAsia="Times New Roman"/>
        </w:rPr>
      </w:pPr>
      <w:bookmarkStart w:id="60" w:name="_Toc50496800"/>
      <w:bookmarkStart w:id="61" w:name="_Toc56073719"/>
      <w:bookmarkStart w:id="62" w:name="_Toc67401904"/>
      <w:r w:rsidRPr="00575A7E">
        <w:rPr>
          <w:rFonts w:eastAsia="Times New Roman"/>
        </w:rPr>
        <w:t>Απασχόληση</w:t>
      </w:r>
      <w:bookmarkEnd w:id="60"/>
      <w:bookmarkEnd w:id="61"/>
      <w:bookmarkEnd w:id="62"/>
    </w:p>
    <w:p w14:paraId="78340976" w14:textId="77777777" w:rsidR="00283CC6" w:rsidRPr="00575A7E" w:rsidRDefault="00283CC6" w:rsidP="003B1BE9">
      <w:pPr>
        <w:spacing w:after="0" w:line="276" w:lineRule="auto"/>
        <w:rPr>
          <w:color w:val="595959"/>
        </w:rPr>
      </w:pPr>
    </w:p>
    <w:p w14:paraId="7F5BF677" w14:textId="77777777" w:rsidR="00283CC6" w:rsidRPr="00575A7E" w:rsidRDefault="00283CC6" w:rsidP="003B1BE9">
      <w:pPr>
        <w:autoSpaceDE w:val="0"/>
        <w:autoSpaceDN w:val="0"/>
        <w:adjustRightInd w:val="0"/>
        <w:spacing w:after="240" w:line="276" w:lineRule="auto"/>
        <w:jc w:val="both"/>
        <w:rPr>
          <w:rFonts w:ascii="Calibri" w:eastAsia="Calibri" w:hAnsi="Calibri" w:cs="Calibri"/>
          <w:color w:val="595959"/>
        </w:rPr>
      </w:pPr>
      <w:r w:rsidRPr="00575A7E">
        <w:rPr>
          <w:rFonts w:ascii="Calibri" w:eastAsia="Calibri" w:hAnsi="Calibri" w:cs="Calibri"/>
          <w:color w:val="595959"/>
        </w:rPr>
        <w:t xml:space="preserve">Σύμφωνα με </w:t>
      </w:r>
      <w:hyperlink r:id="rId58" w:history="1">
        <w:r w:rsidRPr="00575A7E">
          <w:rPr>
            <w:rStyle w:val="-"/>
            <w:rFonts w:ascii="Calibri" w:eastAsia="Calibri" w:hAnsi="Calibri" w:cs="Calibri"/>
            <w:color w:val="595959"/>
          </w:rPr>
          <w:t>τα στοιχεία της τριμηνιαίας Έρευνας Απασχόλησης Εργατικού Δυναμικού της ΕΛΣΤΑΤ</w:t>
        </w:r>
      </w:hyperlink>
      <w:r w:rsidRPr="00575A7E">
        <w:rPr>
          <w:rFonts w:ascii="Calibri" w:eastAsia="Calibri" w:hAnsi="Calibri" w:cs="Calibri"/>
          <w:color w:val="595959"/>
        </w:rPr>
        <w:t xml:space="preserve"> για το τρίτο τρίμηνο του 2020, η συνολική απασχόληση αυξήθηκε κατά 2,2% (82,8 χιλ. άτομα), σε σχέση με το προηγούμενο τρίμηνο και μειώθηκε κατά 1,1% (45,1 χιλ. άτομα) σε σχέση με το αντίστοιχο τρίμηνο του προηγούμενου έτους. </w:t>
      </w:r>
    </w:p>
    <w:p w14:paraId="060B2427" w14:textId="14976BBC" w:rsidR="00283CC6" w:rsidRPr="00575A7E" w:rsidRDefault="00283CC6" w:rsidP="003B1BE9">
      <w:pPr>
        <w:autoSpaceDE w:val="0"/>
        <w:autoSpaceDN w:val="0"/>
        <w:adjustRightInd w:val="0"/>
        <w:spacing w:after="240" w:line="276" w:lineRule="auto"/>
        <w:jc w:val="both"/>
        <w:rPr>
          <w:rFonts w:ascii="Calibri" w:eastAsia="Calibri" w:hAnsi="Calibri" w:cs="Calibri"/>
          <w:color w:val="595959"/>
        </w:rPr>
      </w:pPr>
      <w:r w:rsidRPr="00575A7E">
        <w:rPr>
          <w:rFonts w:ascii="Calibri" w:eastAsia="Calibri" w:hAnsi="Calibri" w:cs="Calibri"/>
          <w:color w:val="595959"/>
        </w:rPr>
        <w:t xml:space="preserve">Με </w:t>
      </w:r>
      <w:hyperlink r:id="rId59" w:history="1">
        <w:r w:rsidR="00176532" w:rsidRPr="00176532">
          <w:rPr>
            <w:rStyle w:val="-"/>
            <w:rFonts w:ascii="Calibri" w:eastAsia="Calibri" w:hAnsi="Calibri" w:cs="Calibri"/>
            <w:color w:val="595959"/>
          </w:rPr>
          <w:t>βάση τα μηνιαία στοιχεία</w:t>
        </w:r>
      </w:hyperlink>
      <w:r w:rsidR="005F401B">
        <w:t>,</w:t>
      </w:r>
      <w:r w:rsidRPr="00176532">
        <w:rPr>
          <w:rStyle w:val="-"/>
          <w:color w:val="595959"/>
          <w:u w:val="none"/>
        </w:rPr>
        <w:t xml:space="preserve"> </w:t>
      </w:r>
      <w:r w:rsidRPr="00575A7E">
        <w:rPr>
          <w:rFonts w:ascii="Calibri" w:eastAsia="Calibri" w:hAnsi="Calibri" w:cs="Calibri"/>
          <w:color w:val="595959"/>
        </w:rPr>
        <w:t>το σύνολο των απασχολούμενων το</w:t>
      </w:r>
      <w:r w:rsidR="00357835">
        <w:rPr>
          <w:rFonts w:ascii="Calibri" w:eastAsia="Calibri" w:hAnsi="Calibri" w:cs="Calibri"/>
          <w:color w:val="595959"/>
        </w:rPr>
        <w:t>ν</w:t>
      </w:r>
      <w:r w:rsidRPr="00575A7E">
        <w:rPr>
          <w:rFonts w:ascii="Calibri" w:eastAsia="Calibri" w:hAnsi="Calibri" w:cs="Calibri"/>
          <w:color w:val="595959"/>
        </w:rPr>
        <w:t xml:space="preserve"> </w:t>
      </w:r>
      <w:bookmarkStart w:id="63" w:name="_Hlk67070878"/>
      <w:r w:rsidR="00176532">
        <w:rPr>
          <w:rFonts w:ascii="Calibri" w:eastAsia="Calibri" w:hAnsi="Calibri" w:cs="Calibri"/>
          <w:color w:val="595959"/>
        </w:rPr>
        <w:t>Δεκέμβριο</w:t>
      </w:r>
      <w:r w:rsidR="00176532" w:rsidRPr="00575A7E">
        <w:rPr>
          <w:rFonts w:ascii="Calibri" w:eastAsia="Calibri" w:hAnsi="Calibri" w:cs="Calibri"/>
          <w:color w:val="595959"/>
        </w:rPr>
        <w:t xml:space="preserve"> </w:t>
      </w:r>
      <w:bookmarkEnd w:id="63"/>
      <w:r w:rsidRPr="00575A7E">
        <w:rPr>
          <w:rFonts w:ascii="Calibri" w:eastAsia="Calibri" w:hAnsi="Calibri" w:cs="Calibri"/>
          <w:color w:val="595959"/>
        </w:rPr>
        <w:t xml:space="preserve">του 2020 ανήλθε </w:t>
      </w:r>
      <w:r w:rsidRPr="00176532">
        <w:rPr>
          <w:rFonts w:ascii="Calibri" w:eastAsia="Calibri" w:hAnsi="Calibri" w:cs="Calibri"/>
          <w:color w:val="595959"/>
        </w:rPr>
        <w:t xml:space="preserve">σε </w:t>
      </w:r>
      <w:r w:rsidR="00176532" w:rsidRPr="00176532">
        <w:rPr>
          <w:rFonts w:ascii="Calibri" w:eastAsia="Calibri" w:hAnsi="Calibri" w:cs="Calibri"/>
          <w:color w:val="595959"/>
        </w:rPr>
        <w:t>3.880.364</w:t>
      </w:r>
      <w:r w:rsidRPr="00176532">
        <w:rPr>
          <w:rFonts w:ascii="Calibri" w:eastAsia="Calibri" w:hAnsi="Calibri" w:cs="Calibri"/>
          <w:color w:val="595959"/>
        </w:rPr>
        <w:t xml:space="preserve"> </w:t>
      </w:r>
      <w:r w:rsidRPr="00575A7E">
        <w:rPr>
          <w:rFonts w:ascii="Calibri" w:eastAsia="Calibri" w:hAnsi="Calibri" w:cs="Calibri"/>
          <w:color w:val="595959"/>
        </w:rPr>
        <w:t xml:space="preserve">άτομα, αριθμός μειωμένος κατά </w:t>
      </w:r>
      <w:r w:rsidR="00176532">
        <w:rPr>
          <w:rFonts w:ascii="Calibri" w:eastAsia="Calibri" w:hAnsi="Calibri" w:cs="Calibri"/>
          <w:color w:val="595959"/>
        </w:rPr>
        <w:t>36.853</w:t>
      </w:r>
      <w:r w:rsidRPr="00575A7E">
        <w:rPr>
          <w:rFonts w:ascii="Calibri" w:eastAsia="Calibri" w:hAnsi="Calibri" w:cs="Calibri"/>
          <w:color w:val="595959"/>
        </w:rPr>
        <w:t xml:space="preserve"> άτομα σε σχέση με τον </w:t>
      </w:r>
      <w:r w:rsidR="00176532" w:rsidRPr="00176532">
        <w:rPr>
          <w:rFonts w:ascii="Calibri" w:eastAsia="Calibri" w:hAnsi="Calibri" w:cs="Times New Roman"/>
          <w:color w:val="595959"/>
        </w:rPr>
        <w:t xml:space="preserve">Δεκέμβριο </w:t>
      </w:r>
      <w:r w:rsidRPr="00575A7E">
        <w:rPr>
          <w:rFonts w:ascii="Calibri" w:eastAsia="Calibri" w:hAnsi="Calibri" w:cs="Calibri"/>
          <w:color w:val="595959"/>
        </w:rPr>
        <w:t>του 2019 (μείωση 0,</w:t>
      </w:r>
      <w:r w:rsidR="00176532">
        <w:rPr>
          <w:rFonts w:ascii="Calibri" w:eastAsia="Calibri" w:hAnsi="Calibri" w:cs="Calibri"/>
          <w:color w:val="595959"/>
        </w:rPr>
        <w:t>9</w:t>
      </w:r>
      <w:r w:rsidRPr="00575A7E">
        <w:rPr>
          <w:rFonts w:ascii="Calibri" w:eastAsia="Calibri" w:hAnsi="Calibri" w:cs="Calibri"/>
          <w:color w:val="595959"/>
        </w:rPr>
        <w:t xml:space="preserve">%) και κατά </w:t>
      </w:r>
      <w:r w:rsidR="00176532">
        <w:rPr>
          <w:rFonts w:ascii="Calibri" w:eastAsia="Calibri" w:hAnsi="Calibri" w:cs="Calibri"/>
          <w:color w:val="595959"/>
        </w:rPr>
        <w:t>12.697</w:t>
      </w:r>
      <w:r w:rsidR="00B24AEB">
        <w:rPr>
          <w:rFonts w:ascii="Calibri" w:eastAsia="Calibri" w:hAnsi="Calibri" w:cs="Calibri"/>
          <w:color w:val="595959"/>
        </w:rPr>
        <w:t xml:space="preserve"> </w:t>
      </w:r>
      <w:r w:rsidRPr="00575A7E">
        <w:rPr>
          <w:rFonts w:ascii="Calibri" w:eastAsia="Calibri" w:hAnsi="Calibri" w:cs="Calibri"/>
          <w:color w:val="595959"/>
        </w:rPr>
        <w:t xml:space="preserve">άτομα σε σχέση με τον </w:t>
      </w:r>
      <w:r w:rsidR="00176532">
        <w:rPr>
          <w:rFonts w:ascii="Calibri" w:eastAsia="Calibri" w:hAnsi="Calibri" w:cs="Calibri"/>
          <w:color w:val="595959"/>
        </w:rPr>
        <w:t>Νοέμβριο</w:t>
      </w:r>
      <w:r w:rsidR="00176532" w:rsidRPr="00575A7E">
        <w:rPr>
          <w:rFonts w:ascii="Calibri" w:eastAsia="Calibri" w:hAnsi="Calibri" w:cs="Calibri"/>
          <w:color w:val="595959"/>
        </w:rPr>
        <w:t xml:space="preserve"> </w:t>
      </w:r>
      <w:r w:rsidRPr="00575A7E">
        <w:rPr>
          <w:rFonts w:ascii="Calibri" w:eastAsia="Calibri" w:hAnsi="Calibri" w:cs="Calibri"/>
          <w:color w:val="595959"/>
        </w:rPr>
        <w:t>του 2020 (μείωση 0,</w:t>
      </w:r>
      <w:r w:rsidR="00176532">
        <w:rPr>
          <w:rFonts w:ascii="Calibri" w:eastAsia="Calibri" w:hAnsi="Calibri" w:cs="Calibri"/>
          <w:color w:val="595959"/>
        </w:rPr>
        <w:t>3</w:t>
      </w:r>
      <w:r w:rsidRPr="00575A7E">
        <w:rPr>
          <w:rFonts w:ascii="Calibri" w:eastAsia="Calibri" w:hAnsi="Calibri" w:cs="Calibri"/>
          <w:color w:val="595959"/>
        </w:rPr>
        <w:t>%).</w:t>
      </w:r>
    </w:p>
    <w:p w14:paraId="74769573" w14:textId="77777777" w:rsidR="00283CC6" w:rsidRPr="00575A7E" w:rsidRDefault="00283CC6" w:rsidP="003B1BE9">
      <w:pPr>
        <w:autoSpaceDE w:val="0"/>
        <w:autoSpaceDN w:val="0"/>
        <w:adjustRightInd w:val="0"/>
        <w:spacing w:after="0" w:line="276" w:lineRule="auto"/>
        <w:jc w:val="both"/>
        <w:rPr>
          <w:rFonts w:ascii="Calibri" w:eastAsia="Calibri" w:hAnsi="Calibri" w:cs="Calibri"/>
          <w:color w:val="595959"/>
        </w:rPr>
      </w:pPr>
      <w:r w:rsidRPr="00575A7E">
        <w:rPr>
          <w:rFonts w:ascii="Calibri" w:eastAsia="Calibri" w:hAnsi="Calibri" w:cs="Calibri"/>
          <w:color w:val="595959"/>
        </w:rPr>
        <w:t xml:space="preserve">Η μερική και η προσωρινή απασχόληση στο τρίτο τρίμηνο του 2020 παρουσίασαν πτώση σε ετήσια βάση. Πιο συγκεκριμένα, η </w:t>
      </w:r>
      <w:hyperlink r:id="rId60" w:history="1">
        <w:r w:rsidRPr="00575A7E">
          <w:rPr>
            <w:rStyle w:val="-"/>
            <w:rFonts w:ascii="Calibri" w:eastAsia="Calibri" w:hAnsi="Calibri" w:cs="Calibri"/>
            <w:color w:val="595959"/>
          </w:rPr>
          <w:t>μερική απασχόληση</w:t>
        </w:r>
      </w:hyperlink>
      <w:r w:rsidRPr="00575A7E">
        <w:rPr>
          <w:rFonts w:ascii="Calibri" w:eastAsia="Calibri" w:hAnsi="Calibri" w:cs="Calibri"/>
          <w:color w:val="595959" w:themeColor="text1" w:themeTint="A6"/>
        </w:rPr>
        <w:t xml:space="preserve"> </w:t>
      </w:r>
      <w:r w:rsidRPr="00575A7E">
        <w:rPr>
          <w:rFonts w:ascii="Calibri" w:eastAsia="Calibri" w:hAnsi="Calibri" w:cs="Calibri"/>
          <w:color w:val="595959"/>
        </w:rPr>
        <w:t>διαμορφώθηκε</w:t>
      </w:r>
      <w:r w:rsidRPr="00575A7E">
        <w:rPr>
          <w:rFonts w:ascii="Calibri" w:eastAsia="Calibri" w:hAnsi="Calibri" w:cs="Calibri"/>
          <w:color w:val="595959" w:themeColor="text1" w:themeTint="A6"/>
        </w:rPr>
        <w:t xml:space="preserve"> στο 8,1% του συνόλου της απασχόλησης (έναντι 8,9% στο τρίτο τρίμηνο του 2019) </w:t>
      </w:r>
      <w:r w:rsidRPr="00575A7E">
        <w:rPr>
          <w:color w:val="595959"/>
        </w:rPr>
        <w:t>ενώ το αντίστοιχο ποσοστό στην Ευρωζώνη είναι 21,1% (έναντι 21,2% πέρσι).</w:t>
      </w:r>
      <w:r w:rsidRPr="00575A7E">
        <w:rPr>
          <w:rFonts w:ascii="Calibri" w:eastAsia="Calibri" w:hAnsi="Calibri" w:cs="Calibri"/>
          <w:color w:val="595959" w:themeColor="text1" w:themeTint="A6"/>
        </w:rPr>
        <w:t xml:space="preserve"> Η </w:t>
      </w:r>
      <w:hyperlink r:id="rId61" w:history="1">
        <w:r w:rsidRPr="00575A7E">
          <w:rPr>
            <w:rStyle w:val="-"/>
            <w:rFonts w:ascii="Calibri" w:eastAsia="Calibri" w:hAnsi="Calibri" w:cs="Calibri"/>
            <w:color w:val="595959"/>
          </w:rPr>
          <w:t>προσωρινή απασχόληση</w:t>
        </w:r>
      </w:hyperlink>
      <w:r w:rsidRPr="00575A7E">
        <w:rPr>
          <w:rFonts w:ascii="Calibri" w:eastAsia="Calibri" w:hAnsi="Calibri" w:cs="Calibri"/>
          <w:color w:val="595959" w:themeColor="text1" w:themeTint="A6"/>
        </w:rPr>
        <w:t xml:space="preserve"> μείωσε το ποσοστό της στο 10,5% του συνόλου των μισθωτών (έναντι 14,1% στο τρίτο τρίμηνο του 2019)</w:t>
      </w:r>
      <w:r w:rsidRPr="00575A7E">
        <w:rPr>
          <w:rFonts w:ascii="Calibri" w:eastAsia="Calibri" w:hAnsi="Calibri" w:cs="Calibri"/>
          <w:color w:val="595959"/>
        </w:rPr>
        <w:t xml:space="preserve"> </w:t>
      </w:r>
      <w:r w:rsidRPr="00575A7E">
        <w:rPr>
          <w:color w:val="595959"/>
        </w:rPr>
        <w:t>ενώ στην Ευρωζώνη διαμορφώθηκε στο 14,2% (έναντι 16,0% πέρσι)</w:t>
      </w:r>
      <w:r w:rsidRPr="00575A7E">
        <w:rPr>
          <w:rFonts w:ascii="Calibri" w:eastAsia="Calibri" w:hAnsi="Calibri" w:cs="Calibri"/>
          <w:color w:val="595959"/>
        </w:rPr>
        <w:t>.</w:t>
      </w:r>
      <w:bookmarkEnd w:id="54"/>
    </w:p>
    <w:p w14:paraId="04506035" w14:textId="77777777" w:rsidR="00283CC6" w:rsidRPr="00575A7E" w:rsidRDefault="00283CC6" w:rsidP="003B1BE9">
      <w:pPr>
        <w:autoSpaceDE w:val="0"/>
        <w:autoSpaceDN w:val="0"/>
        <w:adjustRightInd w:val="0"/>
        <w:spacing w:after="0" w:line="276" w:lineRule="auto"/>
        <w:jc w:val="both"/>
        <w:rPr>
          <w:rFonts w:ascii="Calibri" w:eastAsia="Calibri" w:hAnsi="Calibri" w:cs="Calibri"/>
          <w:color w:val="595959"/>
        </w:rPr>
      </w:pPr>
    </w:p>
    <w:p w14:paraId="1A877572" w14:textId="77777777" w:rsidR="00283CC6" w:rsidRPr="00575A7E" w:rsidRDefault="00283CC6" w:rsidP="003B1BE9">
      <w:pPr>
        <w:pStyle w:val="3"/>
        <w:spacing w:before="0" w:line="276" w:lineRule="auto"/>
        <w:rPr>
          <w:rFonts w:eastAsia="Times New Roman"/>
        </w:rPr>
      </w:pPr>
      <w:bookmarkStart w:id="64" w:name="_Toc56073720"/>
      <w:bookmarkStart w:id="65" w:name="_Toc50131947"/>
      <w:bookmarkStart w:id="66" w:name="_Toc67401905"/>
      <w:r w:rsidRPr="00575A7E">
        <w:rPr>
          <w:rFonts w:eastAsia="Times New Roman"/>
        </w:rPr>
        <w:lastRenderedPageBreak/>
        <w:t>Ροές μισθωτής εργασίας</w:t>
      </w:r>
      <w:bookmarkEnd w:id="64"/>
      <w:bookmarkEnd w:id="66"/>
    </w:p>
    <w:p w14:paraId="59B165FD" w14:textId="77777777" w:rsidR="00283CC6" w:rsidRPr="00575A7E" w:rsidRDefault="00283CC6" w:rsidP="003B1BE9">
      <w:pPr>
        <w:spacing w:after="0" w:line="276" w:lineRule="auto"/>
        <w:jc w:val="both"/>
        <w:rPr>
          <w:rFonts w:ascii="Calibri" w:eastAsia="Calibri" w:hAnsi="Calibri" w:cs="Times New Roman"/>
        </w:rPr>
      </w:pPr>
    </w:p>
    <w:p w14:paraId="05A27102" w14:textId="77777777" w:rsidR="00283CC6" w:rsidRPr="00575A7E" w:rsidRDefault="00283CC6" w:rsidP="003B1BE9">
      <w:pPr>
        <w:spacing w:after="0" w:line="276" w:lineRule="auto"/>
        <w:jc w:val="both"/>
        <w:rPr>
          <w:rFonts w:ascii="Calibri" w:eastAsia="Calibri" w:hAnsi="Calibri" w:cs="Calibri"/>
          <w:color w:val="595959"/>
        </w:rPr>
      </w:pPr>
      <w:r w:rsidRPr="00575A7E">
        <w:rPr>
          <w:rFonts w:ascii="Calibri" w:eastAsia="Calibri" w:hAnsi="Calibri" w:cs="Calibri"/>
          <w:color w:val="595959"/>
        </w:rPr>
        <w:t xml:space="preserve">Σύμφωνα με τα στοιχεία του </w:t>
      </w:r>
      <w:hyperlink r:id="rId62" w:history="1">
        <w:r w:rsidRPr="00575A7E">
          <w:rPr>
            <w:rStyle w:val="-"/>
            <w:rFonts w:ascii="Calibri" w:eastAsia="Calibri" w:hAnsi="Calibri" w:cs="Calibri"/>
            <w:color w:val="595959"/>
          </w:rPr>
          <w:t>Υπουργείου Εργασίας που τηρούνται στο σύστημα ΕΡΓΑΝΗ</w:t>
        </w:r>
      </w:hyperlink>
      <w:r w:rsidRPr="00575A7E">
        <w:rPr>
          <w:rFonts w:ascii="Calibri" w:eastAsia="Calibri" w:hAnsi="Calibri" w:cs="Calibri"/>
          <w:color w:val="595959"/>
        </w:rPr>
        <w:t>, τον Ιανουάριο του 2021 καταγράφηκαν 96.868 προσλήψεις</w:t>
      </w:r>
      <w:r w:rsidR="00D54CE4" w:rsidRPr="00575A7E">
        <w:rPr>
          <w:rFonts w:ascii="Calibri" w:eastAsia="Calibri" w:hAnsi="Calibri" w:cs="Calibri"/>
          <w:color w:val="595959"/>
        </w:rPr>
        <w:t xml:space="preserve"> </w:t>
      </w:r>
      <w:r w:rsidRPr="00575A7E">
        <w:rPr>
          <w:rFonts w:ascii="Calibri" w:eastAsia="Calibri" w:hAnsi="Calibri" w:cs="Calibri"/>
          <w:color w:val="595959"/>
        </w:rPr>
        <w:t>και 94.530 αποχωρήσεις διαμορφώνοντας ένα θετικό ισοζύγιο 2.338 θέσεων μισθωτής εργασίας (από αρνητικό ισοζύγιο 17.318 τον Ιανουάριο του 2020). Η βελτίωση στις ροές της αγοράς εργασίας κατά 19.656 οφείλεται αποκλειστικά στη μείωση των αποχωρήσεων (100.420 λιγότερες από το προηγούμενο έτος) και έχει εν μέρει αντισταθμιστεί από τη μείωση των προσλήψεων (80.764 λιγότερες από το προηγούμενο έτος). Η μερική (και εκ περιτροπής) απασχόληση αντιστοιχούσε στο 33,1% των νέων προ</w:t>
      </w:r>
      <w:r w:rsidR="006F72F8" w:rsidRPr="00575A7E">
        <w:rPr>
          <w:rFonts w:ascii="Calibri" w:eastAsia="Calibri" w:hAnsi="Calibri" w:cs="Calibri"/>
          <w:color w:val="595959"/>
        </w:rPr>
        <w:t>σλήψεων</w:t>
      </w:r>
      <w:r w:rsidRPr="00575A7E">
        <w:rPr>
          <w:rFonts w:ascii="Calibri" w:eastAsia="Calibri" w:hAnsi="Calibri" w:cs="Calibri"/>
          <w:color w:val="595959"/>
        </w:rPr>
        <w:t xml:space="preserve"> τον Ιανουάριο του 2021, μειωμένη σε σχέση με τον αντίστοιχο μήνα του 2019 (53,6%).</w:t>
      </w:r>
      <w:bookmarkEnd w:id="65"/>
    </w:p>
    <w:p w14:paraId="43D601E3" w14:textId="77777777" w:rsidR="00283CC6" w:rsidRPr="00575A7E" w:rsidRDefault="00283CC6" w:rsidP="003B1BE9">
      <w:pPr>
        <w:spacing w:after="0" w:line="276" w:lineRule="auto"/>
        <w:jc w:val="both"/>
      </w:pPr>
    </w:p>
    <w:p w14:paraId="04134918" w14:textId="77777777" w:rsidR="00283CC6" w:rsidRPr="00575A7E" w:rsidRDefault="00283CC6" w:rsidP="003B1BE9">
      <w:pPr>
        <w:pStyle w:val="3"/>
        <w:spacing w:before="0" w:line="276" w:lineRule="auto"/>
      </w:pPr>
      <w:bookmarkStart w:id="67" w:name="_Toc56073721"/>
      <w:bookmarkStart w:id="68" w:name="_Toc50131948"/>
      <w:bookmarkStart w:id="69" w:name="_Toc67401906"/>
      <w:r w:rsidRPr="00575A7E">
        <w:rPr>
          <w:rFonts w:eastAsia="Times New Roman"/>
        </w:rPr>
        <w:t>Αμοιβές</w:t>
      </w:r>
      <w:bookmarkEnd w:id="67"/>
      <w:bookmarkEnd w:id="69"/>
    </w:p>
    <w:p w14:paraId="72E7D936" w14:textId="77777777" w:rsidR="00283CC6" w:rsidRPr="00575A7E" w:rsidRDefault="00283CC6" w:rsidP="003B1BE9">
      <w:pPr>
        <w:spacing w:after="0" w:line="276" w:lineRule="auto"/>
        <w:jc w:val="both"/>
      </w:pPr>
    </w:p>
    <w:p w14:paraId="4384CF00"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Calibri"/>
          <w:color w:val="595959"/>
        </w:rPr>
        <w:t xml:space="preserve">Με βάση </w:t>
      </w:r>
      <w:r w:rsidR="005F401B">
        <w:rPr>
          <w:rFonts w:ascii="Calibri" w:eastAsia="Calibri" w:hAnsi="Calibri" w:cs="Calibri"/>
          <w:color w:val="595959"/>
        </w:rPr>
        <w:t xml:space="preserve">τα </w:t>
      </w:r>
      <w:r w:rsidRPr="00575A7E">
        <w:rPr>
          <w:rFonts w:ascii="Calibri" w:eastAsia="Calibri" w:hAnsi="Calibri" w:cs="Calibri"/>
          <w:color w:val="595959"/>
        </w:rPr>
        <w:t>στοιχεία της ΕΛΣΤΑΤ</w:t>
      </w:r>
      <w:r w:rsidR="005F401B">
        <w:rPr>
          <w:rFonts w:ascii="Calibri" w:eastAsia="Calibri" w:hAnsi="Calibri" w:cs="Calibri"/>
          <w:color w:val="595959"/>
        </w:rPr>
        <w:t>,</w:t>
      </w:r>
      <w:r w:rsidRPr="00575A7E">
        <w:rPr>
          <w:rFonts w:ascii="Calibri" w:eastAsia="Calibri" w:hAnsi="Calibri" w:cs="Calibri"/>
          <w:color w:val="595959"/>
        </w:rPr>
        <w:t xml:space="preserve"> ο (εποχικά διορθωμένος) </w:t>
      </w:r>
      <w:hyperlink r:id="rId63" w:history="1">
        <w:r w:rsidRPr="00575A7E">
          <w:rPr>
            <w:rStyle w:val="-"/>
            <w:rFonts w:ascii="Calibri" w:eastAsia="Calibri" w:hAnsi="Calibri" w:cs="Calibri"/>
            <w:color w:val="595959"/>
          </w:rPr>
          <w:t>Δείκτης Μισθολογικού Κόστους</w:t>
        </w:r>
      </w:hyperlink>
      <w:r w:rsidRPr="00575A7E">
        <w:rPr>
          <w:rFonts w:ascii="Calibri" w:eastAsia="Calibri" w:hAnsi="Calibri" w:cs="Calibri"/>
          <w:color w:val="595959"/>
        </w:rPr>
        <w:t xml:space="preserve"> στο </w:t>
      </w:r>
      <w:r w:rsidRPr="00575A7E">
        <w:rPr>
          <w:rFonts w:ascii="Calibri" w:eastAsia="Calibri" w:hAnsi="Calibri" w:cs="Times New Roman"/>
          <w:color w:val="595959"/>
        </w:rPr>
        <w:t>σύνολο της οικονομίας</w:t>
      </w:r>
      <w:r w:rsidRPr="00575A7E">
        <w:rPr>
          <w:rFonts w:ascii="Calibri" w:eastAsia="Calibri" w:hAnsi="Calibri" w:cs="Times New Roman"/>
          <w:color w:val="595959"/>
          <w:vertAlign w:val="superscript"/>
        </w:rPr>
        <w:footnoteReference w:id="1"/>
      </w:r>
      <w:r w:rsidRPr="00575A7E">
        <w:rPr>
          <w:rFonts w:ascii="Calibri" w:eastAsia="Calibri" w:hAnsi="Calibri" w:cs="Times New Roman"/>
          <w:color w:val="595959"/>
        </w:rPr>
        <w:t xml:space="preserve"> παρουσιάζει αύξηση κατά 3,0%</w:t>
      </w:r>
      <w:r w:rsidRPr="00575A7E">
        <w:t xml:space="preserve"> </w:t>
      </w:r>
      <w:r w:rsidRPr="00575A7E">
        <w:rPr>
          <w:rFonts w:ascii="Calibri" w:eastAsia="Calibri" w:hAnsi="Calibri" w:cs="Times New Roman"/>
          <w:color w:val="595959"/>
        </w:rPr>
        <w:t>το τρίτο τρίμηνο του 2020 σε σύγκριση με το τρίτο τρίμηνο του 2019, έναντι ετήσιας μείωσης 1,2% κατά την αντίστοιχη σύγκριση του 2019 με το 2018.</w:t>
      </w:r>
      <w:bookmarkEnd w:id="68"/>
    </w:p>
    <w:p w14:paraId="5905F982" w14:textId="77777777" w:rsidR="00283CC6" w:rsidRPr="00575A7E" w:rsidRDefault="00283CC6" w:rsidP="003B1BE9">
      <w:pPr>
        <w:autoSpaceDE w:val="0"/>
        <w:autoSpaceDN w:val="0"/>
        <w:adjustRightInd w:val="0"/>
        <w:spacing w:after="0" w:line="276" w:lineRule="auto"/>
        <w:jc w:val="both"/>
        <w:rPr>
          <w:rFonts w:ascii="Calibri" w:eastAsia="Calibri" w:hAnsi="Calibri" w:cs="Times New Roman"/>
          <w:color w:val="595959"/>
        </w:rPr>
      </w:pPr>
    </w:p>
    <w:p w14:paraId="5541C724" w14:textId="77777777" w:rsidR="00283CC6" w:rsidRPr="00575A7E" w:rsidRDefault="00283CC6" w:rsidP="003B1BE9">
      <w:pPr>
        <w:pStyle w:val="3"/>
        <w:spacing w:before="0" w:line="276" w:lineRule="auto"/>
        <w:jc w:val="both"/>
        <w:rPr>
          <w:rFonts w:eastAsia="Times New Roman"/>
        </w:rPr>
      </w:pPr>
      <w:bookmarkStart w:id="70" w:name="_Toc50131949"/>
      <w:bookmarkStart w:id="71" w:name="_Toc56073722"/>
      <w:bookmarkStart w:id="72" w:name="_Toc67401907"/>
      <w:r w:rsidRPr="00575A7E">
        <w:rPr>
          <w:rFonts w:eastAsia="Times New Roman"/>
        </w:rPr>
        <w:t>Διαθέσιμο εισόδημα</w:t>
      </w:r>
      <w:bookmarkEnd w:id="70"/>
      <w:bookmarkEnd w:id="71"/>
      <w:bookmarkEnd w:id="72"/>
    </w:p>
    <w:p w14:paraId="5781A4E4" w14:textId="77777777" w:rsidR="00283CC6" w:rsidRPr="00575A7E" w:rsidRDefault="00283CC6" w:rsidP="003B1BE9">
      <w:pPr>
        <w:spacing w:after="0" w:line="276" w:lineRule="auto"/>
      </w:pPr>
    </w:p>
    <w:p w14:paraId="239F9F7D" w14:textId="77777777" w:rsidR="00283CC6" w:rsidRPr="00575A7E" w:rsidRDefault="00283CC6" w:rsidP="003B1BE9">
      <w:pPr>
        <w:autoSpaceDE w:val="0"/>
        <w:autoSpaceDN w:val="0"/>
        <w:adjustRightInd w:val="0"/>
        <w:spacing w:after="240" w:line="276" w:lineRule="auto"/>
        <w:jc w:val="both"/>
        <w:rPr>
          <w:rFonts w:ascii="Calibri" w:eastAsia="Times New Roman" w:hAnsi="Calibri" w:cs="Times New Roman"/>
          <w:color w:val="595959"/>
        </w:rPr>
      </w:pPr>
      <w:r w:rsidRPr="00575A7E">
        <w:rPr>
          <w:rFonts w:ascii="Calibri" w:eastAsia="Calibri" w:hAnsi="Calibri" w:cs="Calibri"/>
          <w:color w:val="595959"/>
        </w:rPr>
        <w:t>Σύμφωνα</w:t>
      </w:r>
      <w:r w:rsidRPr="00575A7E">
        <w:rPr>
          <w:rFonts w:ascii="Calibri" w:eastAsia="Times New Roman" w:hAnsi="Calibri" w:cs="Times New Roman"/>
          <w:color w:val="595959"/>
        </w:rPr>
        <w:t xml:space="preserve"> με τα </w:t>
      </w:r>
      <w:hyperlink r:id="rId64" w:history="1">
        <w:r w:rsidRPr="00575A7E">
          <w:rPr>
            <w:rStyle w:val="-"/>
            <w:rFonts w:ascii="Calibri" w:eastAsia="Calibri" w:hAnsi="Calibri" w:cs="Calibri"/>
            <w:color w:val="595959"/>
          </w:rPr>
          <w:t>προσωρινά στοιχεία</w:t>
        </w:r>
      </w:hyperlink>
      <w:r w:rsidRPr="00575A7E">
        <w:rPr>
          <w:rFonts w:ascii="Calibri" w:eastAsia="Times New Roman" w:hAnsi="Calibri" w:cs="Times New Roman"/>
          <w:color w:val="595959"/>
        </w:rPr>
        <w:t xml:space="preserve"> της ΕΛΣΤΑΤ για τους τριμηνιαίους μη χρηματοοικονομικούς λογαριασμούς θεσμικών τομέων (για το τρίτο</w:t>
      </w:r>
      <w:r w:rsidRPr="00575A7E">
        <w:rPr>
          <w:rFonts w:ascii="Calibri" w:eastAsia="Calibri" w:hAnsi="Calibri" w:cs="Times New Roman"/>
          <w:color w:val="595959"/>
        </w:rPr>
        <w:t xml:space="preserve"> </w:t>
      </w:r>
      <w:r w:rsidRPr="00575A7E">
        <w:rPr>
          <w:rFonts w:ascii="Calibri" w:eastAsia="Times New Roman" w:hAnsi="Calibri" w:cs="Times New Roman"/>
          <w:color w:val="595959"/>
        </w:rPr>
        <w:t>τρίμηνο του 2020) το διαθέσιμο εισόδημα του τομέα των νοικοκυριών και των μη κερδοσκοπικών ιδρυμάτων που εξυπηρετούν νοικοκυριά (ΜΚΙΕΝ) (S.1M) αυξήθηκε κατά 1,6% σε σύγκριση με το αντίστοιχο τρίμηνο του προηγούμενου έτους, από 31,51 δις ευρώ σε 32,01 δις ευρώ.</w:t>
      </w:r>
    </w:p>
    <w:p w14:paraId="3DB63E06" w14:textId="77777777" w:rsidR="000D311F" w:rsidRDefault="000D311F" w:rsidP="003B1BE9">
      <w:pPr>
        <w:spacing w:line="276" w:lineRule="auto"/>
        <w:rPr>
          <w:rFonts w:ascii="Calibri" w:eastAsia="Times New Roman" w:hAnsi="Calibri" w:cs="Times New Roman"/>
          <w:color w:val="595959"/>
        </w:rPr>
      </w:pPr>
    </w:p>
    <w:p w14:paraId="13764E30" w14:textId="77777777" w:rsidR="00EE0748" w:rsidRDefault="00EE0748" w:rsidP="003B1BE9">
      <w:pPr>
        <w:spacing w:line="276" w:lineRule="auto"/>
        <w:rPr>
          <w:rFonts w:ascii="Calibri" w:eastAsia="Times New Roman" w:hAnsi="Calibri" w:cs="Times New Roman"/>
          <w:color w:val="595959"/>
        </w:rPr>
      </w:pPr>
    </w:p>
    <w:p w14:paraId="3CA25164" w14:textId="77777777" w:rsidR="00EE0748" w:rsidRDefault="00EE0748" w:rsidP="003B1BE9">
      <w:pPr>
        <w:spacing w:line="276" w:lineRule="auto"/>
        <w:rPr>
          <w:rFonts w:ascii="Calibri" w:eastAsia="Times New Roman" w:hAnsi="Calibri" w:cs="Times New Roman"/>
          <w:color w:val="595959"/>
        </w:rPr>
      </w:pPr>
    </w:p>
    <w:p w14:paraId="3A194DE2" w14:textId="77777777" w:rsidR="00EE0748" w:rsidRDefault="00EE0748" w:rsidP="003B1BE9">
      <w:pPr>
        <w:spacing w:line="276" w:lineRule="auto"/>
        <w:rPr>
          <w:rFonts w:ascii="Calibri" w:eastAsia="Times New Roman" w:hAnsi="Calibri" w:cs="Times New Roman"/>
          <w:color w:val="595959"/>
        </w:rPr>
      </w:pPr>
    </w:p>
    <w:p w14:paraId="77CDA7CC" w14:textId="77777777" w:rsidR="00EE0748" w:rsidRDefault="00EE0748" w:rsidP="003B1BE9">
      <w:pPr>
        <w:spacing w:line="276" w:lineRule="auto"/>
        <w:rPr>
          <w:rFonts w:ascii="Calibri" w:eastAsia="Times New Roman" w:hAnsi="Calibri" w:cs="Times New Roman"/>
          <w:color w:val="595959"/>
        </w:rPr>
      </w:pPr>
    </w:p>
    <w:p w14:paraId="3EA06DB8" w14:textId="77777777" w:rsidR="00E749E2" w:rsidRDefault="00E749E2" w:rsidP="003B1BE9">
      <w:pPr>
        <w:spacing w:line="276" w:lineRule="auto"/>
        <w:rPr>
          <w:rFonts w:ascii="Calibri" w:eastAsia="Times New Roman" w:hAnsi="Calibri" w:cs="Times New Roman"/>
          <w:color w:val="595959"/>
        </w:rPr>
      </w:pPr>
    </w:p>
    <w:p w14:paraId="465C2856" w14:textId="77777777" w:rsidR="00E749E2" w:rsidRDefault="00E749E2" w:rsidP="003B1BE9">
      <w:pPr>
        <w:spacing w:line="276" w:lineRule="auto"/>
        <w:rPr>
          <w:rFonts w:ascii="Calibri" w:eastAsia="Times New Roman" w:hAnsi="Calibri" w:cs="Times New Roman"/>
          <w:color w:val="595959"/>
        </w:rPr>
      </w:pPr>
    </w:p>
    <w:p w14:paraId="58843D5D" w14:textId="77777777" w:rsidR="00E749E2" w:rsidRDefault="00E749E2" w:rsidP="003B1BE9">
      <w:pPr>
        <w:spacing w:line="276" w:lineRule="auto"/>
        <w:rPr>
          <w:rFonts w:ascii="Calibri" w:eastAsia="Times New Roman" w:hAnsi="Calibri" w:cs="Times New Roman"/>
          <w:color w:val="595959"/>
        </w:rPr>
      </w:pPr>
    </w:p>
    <w:p w14:paraId="6432F59F" w14:textId="77777777" w:rsidR="00E749E2" w:rsidRDefault="00E749E2" w:rsidP="003B1BE9">
      <w:pPr>
        <w:spacing w:line="276" w:lineRule="auto"/>
        <w:rPr>
          <w:rFonts w:ascii="Calibri" w:eastAsia="Times New Roman" w:hAnsi="Calibri" w:cs="Times New Roman"/>
          <w:color w:val="595959"/>
        </w:rPr>
      </w:pPr>
    </w:p>
    <w:p w14:paraId="1205B0A0" w14:textId="77777777" w:rsidR="00E749E2" w:rsidRDefault="00E749E2" w:rsidP="003B1BE9">
      <w:pPr>
        <w:spacing w:line="276" w:lineRule="auto"/>
        <w:rPr>
          <w:rFonts w:ascii="Calibri" w:eastAsia="Times New Roman" w:hAnsi="Calibri" w:cs="Times New Roman"/>
          <w:color w:val="595959"/>
        </w:rPr>
      </w:pPr>
    </w:p>
    <w:p w14:paraId="7F55B81F" w14:textId="77777777" w:rsidR="00E749E2" w:rsidRDefault="00E749E2" w:rsidP="003B1BE9">
      <w:pPr>
        <w:spacing w:line="276" w:lineRule="auto"/>
        <w:rPr>
          <w:rFonts w:ascii="Calibri" w:eastAsia="Times New Roman" w:hAnsi="Calibri" w:cs="Times New Roman"/>
          <w:color w:val="595959"/>
        </w:rPr>
      </w:pPr>
    </w:p>
    <w:p w14:paraId="168580D7" w14:textId="77777777" w:rsidR="00E749E2" w:rsidRDefault="00E749E2" w:rsidP="003B1BE9">
      <w:pPr>
        <w:spacing w:line="276" w:lineRule="auto"/>
        <w:rPr>
          <w:rFonts w:ascii="Calibri" w:eastAsia="Times New Roman" w:hAnsi="Calibri" w:cs="Times New Roman"/>
          <w:color w:val="595959"/>
        </w:rPr>
      </w:pPr>
    </w:p>
    <w:p w14:paraId="1AAC6A16" w14:textId="77777777" w:rsidR="00E749E2" w:rsidRDefault="00E749E2" w:rsidP="003B1BE9">
      <w:pPr>
        <w:spacing w:line="276" w:lineRule="auto"/>
        <w:rPr>
          <w:rFonts w:ascii="Calibri" w:eastAsia="Times New Roman" w:hAnsi="Calibri" w:cs="Times New Roman"/>
          <w:color w:val="595959"/>
        </w:rPr>
      </w:pPr>
    </w:p>
    <w:p w14:paraId="636E8763" w14:textId="77777777" w:rsidR="00E749E2" w:rsidRDefault="00E749E2" w:rsidP="003B1BE9">
      <w:pPr>
        <w:spacing w:line="276" w:lineRule="auto"/>
        <w:rPr>
          <w:rFonts w:ascii="Calibri" w:eastAsia="Times New Roman" w:hAnsi="Calibri" w:cs="Times New Roman"/>
          <w:color w:val="595959"/>
        </w:rPr>
      </w:pPr>
    </w:p>
    <w:p w14:paraId="224CC00D" w14:textId="77777777" w:rsidR="00E749E2" w:rsidRDefault="00E749E2" w:rsidP="003B1BE9">
      <w:pPr>
        <w:spacing w:line="276" w:lineRule="auto"/>
        <w:rPr>
          <w:rFonts w:ascii="Calibri" w:eastAsia="Times New Roman" w:hAnsi="Calibri" w:cs="Times New Roman"/>
          <w:color w:val="595959"/>
        </w:rPr>
      </w:pPr>
    </w:p>
    <w:p w14:paraId="75707974" w14:textId="77777777" w:rsidR="00E749E2" w:rsidRDefault="00E749E2" w:rsidP="003B1BE9">
      <w:pPr>
        <w:spacing w:line="276" w:lineRule="auto"/>
        <w:rPr>
          <w:rFonts w:ascii="Calibri" w:eastAsia="Times New Roman" w:hAnsi="Calibri" w:cs="Times New Roman"/>
          <w:color w:val="595959"/>
        </w:rPr>
      </w:pPr>
    </w:p>
    <w:p w14:paraId="76F042F6" w14:textId="77777777" w:rsidR="00E749E2" w:rsidRDefault="00E749E2" w:rsidP="003B1BE9">
      <w:pPr>
        <w:spacing w:line="276" w:lineRule="auto"/>
        <w:rPr>
          <w:rFonts w:ascii="Calibri" w:eastAsia="Times New Roman" w:hAnsi="Calibri" w:cs="Times New Roman"/>
          <w:color w:val="595959"/>
        </w:rPr>
      </w:pPr>
    </w:p>
    <w:p w14:paraId="7A45BFE4" w14:textId="77777777" w:rsidR="00E749E2" w:rsidRDefault="00E749E2" w:rsidP="003B1BE9">
      <w:pPr>
        <w:spacing w:line="276" w:lineRule="auto"/>
        <w:rPr>
          <w:rFonts w:ascii="Calibri" w:eastAsia="Times New Roman" w:hAnsi="Calibri" w:cs="Times New Roman"/>
          <w:color w:val="595959"/>
        </w:rPr>
      </w:pPr>
    </w:p>
    <w:p w14:paraId="60DF76A7" w14:textId="77777777" w:rsidR="00E749E2" w:rsidRDefault="00E749E2" w:rsidP="003B1BE9">
      <w:pPr>
        <w:spacing w:line="276" w:lineRule="auto"/>
        <w:rPr>
          <w:rFonts w:ascii="Calibri" w:eastAsia="Times New Roman" w:hAnsi="Calibri" w:cs="Times New Roman"/>
          <w:color w:val="595959"/>
        </w:rPr>
      </w:pPr>
    </w:p>
    <w:p w14:paraId="77D7C300" w14:textId="77777777" w:rsidR="00E749E2" w:rsidRDefault="00E749E2" w:rsidP="003B1BE9">
      <w:pPr>
        <w:spacing w:line="276" w:lineRule="auto"/>
        <w:rPr>
          <w:rFonts w:ascii="Calibri" w:eastAsia="Times New Roman" w:hAnsi="Calibri" w:cs="Times New Roman"/>
          <w:color w:val="595959"/>
        </w:rPr>
      </w:pPr>
    </w:p>
    <w:p w14:paraId="2B60CB24" w14:textId="77777777" w:rsidR="00E749E2" w:rsidRDefault="00E749E2" w:rsidP="003B1BE9">
      <w:pPr>
        <w:spacing w:line="276" w:lineRule="auto"/>
        <w:rPr>
          <w:rFonts w:ascii="Calibri" w:eastAsia="Times New Roman" w:hAnsi="Calibri" w:cs="Times New Roman"/>
          <w:color w:val="595959"/>
        </w:rPr>
      </w:pPr>
    </w:p>
    <w:p w14:paraId="3B5DEC89" w14:textId="77777777" w:rsidR="00E749E2" w:rsidRDefault="00E749E2" w:rsidP="003B1BE9">
      <w:pPr>
        <w:spacing w:line="276" w:lineRule="auto"/>
        <w:rPr>
          <w:rFonts w:ascii="Calibri" w:eastAsia="Times New Roman" w:hAnsi="Calibri" w:cs="Times New Roman"/>
          <w:color w:val="595959"/>
        </w:rPr>
      </w:pPr>
    </w:p>
    <w:p w14:paraId="1D48100D" w14:textId="77777777" w:rsidR="00E749E2" w:rsidRDefault="00E749E2" w:rsidP="003B1BE9">
      <w:pPr>
        <w:spacing w:line="276" w:lineRule="auto"/>
        <w:rPr>
          <w:rFonts w:ascii="Calibri" w:eastAsia="Times New Roman" w:hAnsi="Calibri" w:cs="Times New Roman"/>
          <w:color w:val="595959"/>
        </w:rPr>
      </w:pPr>
    </w:p>
    <w:p w14:paraId="709C72C0" w14:textId="77777777" w:rsidR="00E749E2" w:rsidRDefault="00E749E2" w:rsidP="003B1BE9">
      <w:pPr>
        <w:spacing w:line="276" w:lineRule="auto"/>
        <w:rPr>
          <w:rFonts w:ascii="Calibri" w:eastAsia="Times New Roman" w:hAnsi="Calibri" w:cs="Times New Roman"/>
          <w:color w:val="595959"/>
        </w:rPr>
      </w:pPr>
    </w:p>
    <w:p w14:paraId="3CEB1A26" w14:textId="77777777" w:rsidR="00E749E2" w:rsidRDefault="00E749E2" w:rsidP="003B1BE9">
      <w:pPr>
        <w:spacing w:line="276" w:lineRule="auto"/>
        <w:rPr>
          <w:rFonts w:ascii="Calibri" w:eastAsia="Times New Roman" w:hAnsi="Calibri" w:cs="Times New Roman"/>
          <w:color w:val="595959"/>
        </w:rPr>
      </w:pPr>
    </w:p>
    <w:p w14:paraId="2256FAF3" w14:textId="77777777" w:rsidR="00E749E2" w:rsidRDefault="00E749E2" w:rsidP="003B1BE9">
      <w:pPr>
        <w:spacing w:line="276" w:lineRule="auto"/>
        <w:rPr>
          <w:rFonts w:ascii="Calibri" w:eastAsia="Times New Roman" w:hAnsi="Calibri" w:cs="Times New Roman"/>
          <w:color w:val="595959"/>
        </w:rPr>
      </w:pPr>
    </w:p>
    <w:p w14:paraId="7DE5F944" w14:textId="77777777" w:rsidR="00E749E2" w:rsidRDefault="00E749E2" w:rsidP="003B1BE9">
      <w:pPr>
        <w:spacing w:line="276" w:lineRule="auto"/>
        <w:rPr>
          <w:rFonts w:ascii="Calibri" w:eastAsia="Times New Roman" w:hAnsi="Calibri" w:cs="Times New Roman"/>
          <w:color w:val="595959"/>
        </w:rPr>
      </w:pPr>
    </w:p>
    <w:p w14:paraId="7A98A05C" w14:textId="77777777" w:rsidR="00E749E2" w:rsidRDefault="00E749E2" w:rsidP="003B1BE9">
      <w:pPr>
        <w:spacing w:line="276" w:lineRule="auto"/>
        <w:rPr>
          <w:rFonts w:ascii="Calibri" w:eastAsia="Times New Roman" w:hAnsi="Calibri" w:cs="Times New Roman"/>
          <w:color w:val="595959"/>
        </w:rPr>
      </w:pPr>
    </w:p>
    <w:p w14:paraId="4C4CD099" w14:textId="77777777" w:rsidR="00E749E2" w:rsidRDefault="00E749E2" w:rsidP="003B1BE9">
      <w:pPr>
        <w:spacing w:line="276" w:lineRule="auto"/>
        <w:rPr>
          <w:rFonts w:ascii="Calibri" w:eastAsia="Times New Roman" w:hAnsi="Calibri" w:cs="Times New Roman"/>
          <w:color w:val="595959"/>
        </w:rPr>
      </w:pPr>
    </w:p>
    <w:p w14:paraId="39EB5C11" w14:textId="77777777" w:rsidR="00E749E2" w:rsidRDefault="00E749E2" w:rsidP="003B1BE9">
      <w:pPr>
        <w:spacing w:line="276" w:lineRule="auto"/>
        <w:rPr>
          <w:rFonts w:ascii="Calibri" w:eastAsia="Times New Roman" w:hAnsi="Calibri" w:cs="Times New Roman"/>
          <w:color w:val="595959"/>
        </w:rPr>
      </w:pPr>
    </w:p>
    <w:p w14:paraId="1537D3E4" w14:textId="77777777" w:rsidR="00E749E2" w:rsidRDefault="00E749E2" w:rsidP="003B1BE9">
      <w:pPr>
        <w:spacing w:line="276" w:lineRule="auto"/>
        <w:rPr>
          <w:rFonts w:ascii="Calibri" w:eastAsia="Times New Roman" w:hAnsi="Calibri" w:cs="Times New Roman"/>
          <w:color w:val="595959"/>
        </w:rPr>
      </w:pPr>
    </w:p>
    <w:p w14:paraId="19C891E5" w14:textId="77777777" w:rsidR="00E749E2" w:rsidRDefault="00E749E2" w:rsidP="003B1BE9">
      <w:pPr>
        <w:spacing w:line="276" w:lineRule="auto"/>
        <w:rPr>
          <w:rFonts w:ascii="Calibri" w:eastAsia="Times New Roman" w:hAnsi="Calibri" w:cs="Times New Roman"/>
          <w:color w:val="595959"/>
        </w:rPr>
      </w:pPr>
    </w:p>
    <w:p w14:paraId="3E91BD48" w14:textId="77777777" w:rsidR="00E749E2" w:rsidRDefault="00E749E2" w:rsidP="003B1BE9">
      <w:pPr>
        <w:spacing w:line="276" w:lineRule="auto"/>
        <w:rPr>
          <w:rFonts w:ascii="Calibri" w:eastAsia="Times New Roman" w:hAnsi="Calibri" w:cs="Times New Roman"/>
          <w:color w:val="595959"/>
        </w:rPr>
      </w:pPr>
    </w:p>
    <w:p w14:paraId="27AB2F01" w14:textId="77777777" w:rsidR="00EE0748" w:rsidRDefault="00EE0748" w:rsidP="003B1BE9">
      <w:pPr>
        <w:spacing w:line="276" w:lineRule="auto"/>
        <w:rPr>
          <w:rFonts w:ascii="Calibri" w:eastAsia="Times New Roman" w:hAnsi="Calibri" w:cs="Times New Roman"/>
          <w:color w:val="595959"/>
        </w:rPr>
      </w:pPr>
    </w:p>
    <w:p w14:paraId="6D36F06F" w14:textId="77777777" w:rsidR="00EE0748" w:rsidRDefault="00EE0748" w:rsidP="003B1BE9">
      <w:pPr>
        <w:spacing w:line="276" w:lineRule="auto"/>
        <w:rPr>
          <w:rFonts w:ascii="Calibri" w:eastAsia="Times New Roman" w:hAnsi="Calibri" w:cs="Times New Roman"/>
          <w:color w:val="595959"/>
        </w:rPr>
      </w:pPr>
    </w:p>
    <w:p w14:paraId="27378191" w14:textId="77777777" w:rsidR="009926BC" w:rsidRPr="00575A7E" w:rsidRDefault="009926BC" w:rsidP="003B1BE9">
      <w:pPr>
        <w:spacing w:line="276" w:lineRule="auto"/>
        <w:rPr>
          <w:rFonts w:ascii="Calibri" w:eastAsia="Times New Roman" w:hAnsi="Calibri" w:cs="Times New Roman"/>
          <w:color w:val="595959"/>
        </w:rPr>
      </w:pPr>
    </w:p>
    <w:p w14:paraId="6F45EBA1" w14:textId="77777777" w:rsidR="00E749E2" w:rsidRDefault="00E749E2" w:rsidP="00E749E2">
      <w:pPr>
        <w:spacing w:line="276" w:lineRule="auto"/>
        <w:jc w:val="center"/>
        <w:rPr>
          <w:rFonts w:ascii="Calibri" w:eastAsia="Calibri" w:hAnsi="Calibri" w:cs="Times New Roman"/>
          <w:color w:val="595959"/>
        </w:rPr>
      </w:pPr>
    </w:p>
    <w:p w14:paraId="11CDBCD5" w14:textId="1CB53884" w:rsidR="005921E4" w:rsidRDefault="00E749E2" w:rsidP="00E749E2">
      <w:pPr>
        <w:spacing w:line="276" w:lineRule="auto"/>
        <w:jc w:val="center"/>
        <w:rPr>
          <w:rFonts w:ascii="Calibri" w:eastAsia="Calibri" w:hAnsi="Calibri" w:cs="Times New Roman"/>
          <w:color w:val="595959"/>
        </w:rPr>
      </w:pPr>
      <w:r w:rsidRPr="00575A7E">
        <w:rPr>
          <w:rFonts w:ascii="Calibri" w:eastAsia="Calibri" w:hAnsi="Calibri" w:cs="Times New Roman"/>
          <w:color w:val="595959"/>
        </w:rPr>
        <w:t>[κενή σελίδα]</w:t>
      </w:r>
    </w:p>
    <w:p w14:paraId="1679F25A" w14:textId="77777777" w:rsidR="00AE09A8" w:rsidRPr="00575A7E" w:rsidRDefault="009E2E2E" w:rsidP="003B1BE9">
      <w:pPr>
        <w:pStyle w:val="1"/>
        <w:spacing w:before="0" w:line="276" w:lineRule="auto"/>
        <w:jc w:val="center"/>
      </w:pPr>
      <w:bookmarkStart w:id="73" w:name="_Toc67401908"/>
      <w:r w:rsidRPr="00575A7E">
        <w:lastRenderedPageBreak/>
        <w:t>2. Δημοσιονομικές εξελίξεις</w:t>
      </w:r>
      <w:bookmarkStart w:id="74" w:name="_Toc519523470"/>
      <w:bookmarkStart w:id="75" w:name="_Toc521341310"/>
      <w:bookmarkEnd w:id="10"/>
      <w:bookmarkEnd w:id="73"/>
    </w:p>
    <w:p w14:paraId="5F5316B9" w14:textId="77777777" w:rsidR="000E5BBE" w:rsidRPr="00575A7E" w:rsidRDefault="000E5BBE" w:rsidP="003B1BE9">
      <w:pPr>
        <w:spacing w:after="0" w:line="276" w:lineRule="auto"/>
      </w:pPr>
    </w:p>
    <w:p w14:paraId="119BA19C" w14:textId="77777777" w:rsidR="00342756" w:rsidRPr="00575A7E" w:rsidRDefault="00073302" w:rsidP="003B1BE9">
      <w:pPr>
        <w:pStyle w:val="2"/>
        <w:spacing w:before="0" w:line="276" w:lineRule="auto"/>
        <w:rPr>
          <w:rStyle w:val="2Char"/>
          <w:b/>
          <w:bCs/>
        </w:rPr>
      </w:pPr>
      <w:bookmarkStart w:id="76" w:name="_Toc67401909"/>
      <w:r w:rsidRPr="00575A7E">
        <w:rPr>
          <w:rFonts w:eastAsia="Times New Roman"/>
        </w:rPr>
        <w:t>2</w:t>
      </w:r>
      <w:r w:rsidRPr="00575A7E">
        <w:rPr>
          <w:rStyle w:val="2Char"/>
          <w:b/>
          <w:bCs/>
        </w:rPr>
        <w:t>.1</w:t>
      </w:r>
      <w:r w:rsidR="00433B67" w:rsidRPr="00575A7E">
        <w:rPr>
          <w:rStyle w:val="2Char"/>
          <w:b/>
          <w:bCs/>
        </w:rPr>
        <w:t>.</w:t>
      </w:r>
      <w:r w:rsidRPr="00575A7E">
        <w:rPr>
          <w:rStyle w:val="2Char"/>
          <w:b/>
          <w:bCs/>
        </w:rPr>
        <w:t xml:space="preserve"> </w:t>
      </w:r>
      <w:r w:rsidR="00243D0B" w:rsidRPr="00243D0B">
        <w:rPr>
          <w:rStyle w:val="2Char"/>
          <w:b/>
          <w:bCs/>
        </w:rPr>
        <w:t>Δημοσιονομικά στοιχεία Ιανουαρίου - Δεκεμβρίου 2020</w:t>
      </w:r>
      <w:bookmarkEnd w:id="76"/>
    </w:p>
    <w:p w14:paraId="1A938E74" w14:textId="77777777" w:rsidR="009B2059" w:rsidRPr="00575A7E" w:rsidRDefault="009B2059" w:rsidP="003B1BE9">
      <w:pPr>
        <w:spacing w:after="0" w:line="276" w:lineRule="auto"/>
        <w:jc w:val="both"/>
        <w:rPr>
          <w:rFonts w:ascii="Calibri" w:eastAsia="Calibri" w:hAnsi="Calibri" w:cs="Calibri"/>
          <w:color w:val="595959"/>
        </w:rPr>
      </w:pPr>
      <w:bookmarkStart w:id="77" w:name="_Toc513474241"/>
      <w:bookmarkStart w:id="78" w:name="_Toc518984847"/>
      <w:bookmarkStart w:id="79" w:name="_Toc521341312"/>
      <w:bookmarkEnd w:id="74"/>
      <w:bookmarkEnd w:id="75"/>
    </w:p>
    <w:p w14:paraId="29CCB522" w14:textId="77777777" w:rsidR="001A034F" w:rsidRPr="001A034F" w:rsidRDefault="001A034F" w:rsidP="001A034F">
      <w:pPr>
        <w:keepNext/>
        <w:framePr w:dropCap="drop" w:lines="3" w:wrap="around" w:vAnchor="text" w:hAnchor="text"/>
        <w:spacing w:after="0" w:line="926" w:lineRule="exact"/>
        <w:jc w:val="both"/>
        <w:textAlignment w:val="baseline"/>
        <w:rPr>
          <w:rFonts w:ascii="Calibri" w:eastAsia="Calibri" w:hAnsi="Calibri" w:cs="Calibri"/>
          <w:color w:val="595959"/>
          <w:position w:val="-9"/>
          <w:sz w:val="123"/>
        </w:rPr>
      </w:pPr>
      <w:r w:rsidRPr="001A034F">
        <w:rPr>
          <w:rFonts w:ascii="Calibri" w:eastAsia="Calibri" w:hAnsi="Calibri" w:cs="Calibri"/>
          <w:color w:val="595959"/>
          <w:position w:val="-9"/>
          <w:sz w:val="123"/>
        </w:rPr>
        <w:t>Σ</w:t>
      </w:r>
    </w:p>
    <w:p w14:paraId="2D4DADA6"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ύμφωνα με την εκτίμηση του Γραφείου Προϋπολογισμού του Κράτους στη Βουλή, το Ενοποιημένο Πρωτογενές Αποτέλεσμα Γενικής Κυβέρνησης με προσαρμογές το δωδεκάμηνο Ιανουαρίου - Δεκεμβρίου του 2020 καταγράφει πρωτογενές έλλειμμα 13.</w:t>
      </w:r>
      <w:r w:rsidRPr="00A94F6F">
        <w:rPr>
          <w:rFonts w:ascii="Calibri" w:eastAsia="Calibri" w:hAnsi="Calibri" w:cs="Calibri"/>
          <w:color w:val="595959"/>
        </w:rPr>
        <w:t>960</w:t>
      </w:r>
      <w:r w:rsidRPr="00827771">
        <w:rPr>
          <w:rFonts w:ascii="Calibri" w:eastAsia="Calibri" w:hAnsi="Calibri" w:cs="Calibri"/>
          <w:color w:val="595959"/>
        </w:rPr>
        <w:t xml:space="preserve"> εκατ. ευρώ που ισοδυναμεί με επιδείνωση 20.</w:t>
      </w:r>
      <w:r w:rsidRPr="00A94F6F">
        <w:rPr>
          <w:rFonts w:ascii="Calibri" w:eastAsia="Calibri" w:hAnsi="Calibri" w:cs="Calibri"/>
          <w:color w:val="595959"/>
        </w:rPr>
        <w:t>434</w:t>
      </w:r>
      <w:r w:rsidRPr="00827771">
        <w:rPr>
          <w:rFonts w:ascii="Calibri" w:eastAsia="Calibri" w:hAnsi="Calibri" w:cs="Calibri"/>
          <w:color w:val="595959"/>
        </w:rPr>
        <w:t xml:space="preserve"> εκατ. ευρώ σε σύγκριση με το αντίστοιχο δωδεκάμηνο του προηγούμενου έτους.</w:t>
      </w:r>
    </w:p>
    <w:p w14:paraId="180B7A0C"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Ο Κρατικός Προϋπολογισμός παρουσιάζει ταμειακό πρωτογενές </w:t>
      </w:r>
      <w:r w:rsidR="001A034F">
        <w:rPr>
          <w:rFonts w:ascii="Calibri" w:eastAsia="Calibri" w:hAnsi="Calibri" w:cs="Calibri"/>
          <w:color w:val="595959"/>
        </w:rPr>
        <w:t>έλλειμμα 18.195 εκατ. ευρώ,</w:t>
      </w:r>
      <w:r w:rsidRPr="00827771">
        <w:rPr>
          <w:rFonts w:ascii="Calibri" w:eastAsia="Calibri" w:hAnsi="Calibri" w:cs="Calibri"/>
          <w:color w:val="595959"/>
        </w:rPr>
        <w:t xml:space="preserve"> </w:t>
      </w:r>
      <w:r w:rsidR="001A034F">
        <w:rPr>
          <w:rFonts w:ascii="Calibri" w:eastAsia="Calibri" w:hAnsi="Calibri" w:cs="Calibri"/>
          <w:color w:val="595959"/>
        </w:rPr>
        <w:t>διευρυμένο</w:t>
      </w:r>
      <w:r w:rsidRPr="00827771">
        <w:rPr>
          <w:rFonts w:ascii="Calibri" w:eastAsia="Calibri" w:hAnsi="Calibri" w:cs="Calibri"/>
          <w:color w:val="595959"/>
        </w:rPr>
        <w:t xml:space="preserve"> κατά 23.212 εκατ. ευρώ σε σύγκριση με το αντίστοιχο δωδεκάμηνο του 2019. Στην πλευρά των εσόδων, εμφανίζονται μειωμένα τα μη φορολογικά και μη τακτικά έσοδα κατά 1.573 εκατ. ευρώ και τα φορολογικά έσοδα κατά 8.216 εκατ. ευρώ, ενώ τα έσοδα του ΠΔΕ εμφανίζονται αυξημένα κατά 2.684 εκατ. ευρώ. </w:t>
      </w:r>
    </w:p>
    <w:p w14:paraId="0B55CF71"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Στην πλευρά των δαπανών του Κρατικού Προϋπολογισμού παρατηρείται αύξηση κατά 14.904 εκατ. ευρώ σε σύγκριση με το αντίστοιχο δωδεκάμηνο του 2019, η οποία αποδίδεται στην αύξηση των δαπανών ΠΔΕ</w:t>
      </w:r>
      <w:r w:rsidRPr="00827771">
        <w:t xml:space="preserve"> </w:t>
      </w:r>
      <w:r w:rsidRPr="00827771">
        <w:rPr>
          <w:rFonts w:ascii="Calibri" w:eastAsia="Calibri" w:hAnsi="Calibri" w:cs="Calibri"/>
          <w:color w:val="595959"/>
        </w:rPr>
        <w:t>κατά 5.005 εκατ. ευρώ,</w:t>
      </w:r>
      <w:r w:rsidRPr="00827771">
        <w:t xml:space="preserve"> </w:t>
      </w:r>
      <w:r w:rsidRPr="00827771">
        <w:rPr>
          <w:rFonts w:ascii="Calibri" w:eastAsia="Calibri" w:hAnsi="Calibri" w:cs="Calibri"/>
          <w:color w:val="595959"/>
        </w:rPr>
        <w:t>και στην αύξηση των</w:t>
      </w:r>
      <w:r w:rsidRPr="00827771">
        <w:t xml:space="preserve"> </w:t>
      </w:r>
      <w:r w:rsidRPr="00827771">
        <w:rPr>
          <w:rFonts w:ascii="Calibri" w:eastAsia="Calibri" w:hAnsi="Calibri" w:cs="Calibri"/>
          <w:color w:val="595959"/>
        </w:rPr>
        <w:t>Πρωτογενών δαπανών του τακτικού προϋπολογισμού</w:t>
      </w:r>
      <w:r w:rsidRPr="00827771">
        <w:t xml:space="preserve"> </w:t>
      </w:r>
      <w:r w:rsidRPr="00827771">
        <w:rPr>
          <w:rFonts w:ascii="Calibri" w:eastAsia="Calibri" w:hAnsi="Calibri" w:cs="Calibri"/>
          <w:color w:val="595959"/>
        </w:rPr>
        <w:t>κατά 10.350 εκατ. ευρώ, ενώ οι δαπάνες για τόκους μειώθηκαν κατά 451 εκατ. ευρώ.</w:t>
      </w:r>
    </w:p>
    <w:p w14:paraId="7603D48D" w14:textId="4C3C8BA9"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Αναφορικά με τους υπόλοιπους </w:t>
      </w:r>
      <w:proofErr w:type="spellStart"/>
      <w:r w:rsidRPr="00827771">
        <w:rPr>
          <w:rFonts w:ascii="Calibri" w:eastAsia="Calibri" w:hAnsi="Calibri" w:cs="Calibri"/>
          <w:color w:val="595959"/>
        </w:rPr>
        <w:t>υποτομείς</w:t>
      </w:r>
      <w:proofErr w:type="spellEnd"/>
      <w:r w:rsidRPr="00827771">
        <w:rPr>
          <w:rFonts w:ascii="Calibri" w:eastAsia="Calibri" w:hAnsi="Calibri" w:cs="Calibri"/>
          <w:color w:val="595959"/>
        </w:rPr>
        <w:t xml:space="preserve"> της Γενικής Κυβέρνησης, τα Νομικά Πρόσωπα εμφανίζουν αυξημένα έσοδα κατά 3.141 εκατ. ευρώ και αυξημένες δαπάνες κατά 803 εκατ. ευρώ, καταλήγοντας σε ένα ταμειακό πρωτογενές πλεόνασμα (5.620 εκατ. ευρώ) αυξημένο κατά 2.308 εκατ. ευρώ σε σύγκριση με το αντίστοιχο δωδεκάμηνο του 2019. Η αύξηση των εσόδων των Νομικών Προσώπων οφείλεται κατά κύριο λόγο στην αύξηση των μεταβιβάσεων (κυρίως από τον Κρατικό Προϋπολογισμό) κατά 3.678 εκατ. ευρώ. Η αύξηση των εξόδων των Νομικών Προσώπων οφείλεται κυρίως σε κεφαλαιακές μεταβιβάσεις προς το Κράτος ύψους 780 εκατ. ευρώ. </w:t>
      </w:r>
    </w:p>
    <w:p w14:paraId="0BFE0F66"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Οι Οργανισμοί Τοπικής Αυτοδιοίκησης καταγράφουν αυξημένα έσοδα κατά 565 εκατ. ευρώ και αυξημένες δαπάνες κατά 553 εκατ. ευρώ (με μειωμένες πληρωμές τόκων κατά 19 εκατ. ευρώ), με συνέπεια το πρωτογενές πλεόνασμά τους (84 εκατ. ευρώ) να είναι μειωμένο κατά 7 εκατ. ευρώ σε σύγκριση με το αντίστοιχο δωδεκάμηνο του 2019. Η αύξηση των εσόδων των Οργανισμών Τοπικής Αυτοδιοίκησης οφείλεται κυρίως στις αυξημένες μεταβιβάσεις (κυρίως από τον Κρατικό Προϋπολογισμό) κατά 668 εκατ. ευρώ.</w:t>
      </w:r>
    </w:p>
    <w:p w14:paraId="2CA17E5E"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Οι Οργανισμοί Κοινωνικής Ασφάλισης καταγράφουν αυξημένα έσοδα κατά 889 εκατ. ευρώ και αυξημένες δαπάνες κατά 1.520 εκατ. ευρώ, με συνέπεια την μείωση του πρωτογενούς αποτελέσματος τους (πρωτογενές πλεόνασμα 848 εκατ. ευρώ) κατά 629 εκατ. ευρώ σε σύγκριση με το αντίστοιχο δωδεκάμηνο του 2019. Η αύξηση των εσόδων των Οργανισμών Κοινωνικής Ασφάλισης οφείλεται κυρίως στην αύξηση των μεταβιβάσεων (κυρίως από τον Κρατικό Προϋπολογισμό) κατά 1.326 εκατ. ευρώ, ενώ οι ασφαλιστικές εισφορές μειώθηκαν κατά 430 εκατ. ευρώ (το τελευταίο δεν φαίνεται στη συνοπτική ταξινόμηση του πίνακα που ακολουθεί).</w:t>
      </w:r>
    </w:p>
    <w:p w14:paraId="4A79AC79" w14:textId="77777777" w:rsidR="00F63EF9" w:rsidRDefault="00F63EF9" w:rsidP="003B1BE9">
      <w:pPr>
        <w:pStyle w:val="ae"/>
        <w:keepNext/>
        <w:spacing w:after="0" w:line="276" w:lineRule="auto"/>
        <w:jc w:val="both"/>
        <w:rPr>
          <w:rFonts w:ascii="Calibri" w:eastAsia="Calibri" w:hAnsi="Calibri" w:cs="Calibri"/>
          <w:i w:val="0"/>
          <w:iCs w:val="0"/>
          <w:color w:val="595959"/>
          <w:sz w:val="22"/>
          <w:szCs w:val="22"/>
        </w:rPr>
      </w:pPr>
      <w:r w:rsidRPr="00827771">
        <w:rPr>
          <w:rFonts w:ascii="Calibri" w:eastAsia="Calibri" w:hAnsi="Calibri" w:cs="Calibri"/>
          <w:i w:val="0"/>
          <w:iCs w:val="0"/>
          <w:color w:val="595959"/>
          <w:sz w:val="22"/>
          <w:szCs w:val="22"/>
        </w:rPr>
        <w:lastRenderedPageBreak/>
        <w:t>Τέλος, η μεγαλύτερη μείωση των ληξιπρόθεσμων υποχρεώσεων της Γενικής Κυβέρνησης κατά 152 εκατ. ευρώ το δωδεκάμηνο Ιανουαρίου – Δεκεμβρίου του 2020 έναντι μικρότερης μείωσης κατά 11 εκατ. ευρώ το αντίστοιχο δωδεκάμηνο του 2019 είχε περισσότερο θετική επίπτωση στο πρωτογενές αποτέλεσμα της Γενικής Κυβέρνησης το δωδεκάμηνο του 2020.</w:t>
      </w:r>
    </w:p>
    <w:p w14:paraId="38DA6D02" w14:textId="77777777" w:rsidR="00B662A2" w:rsidRPr="00B4407F" w:rsidRDefault="00B662A2" w:rsidP="003B1BE9">
      <w:pPr>
        <w:spacing w:after="0" w:line="276" w:lineRule="auto"/>
      </w:pPr>
    </w:p>
    <w:p w14:paraId="2E94B168" w14:textId="1DFBACAE" w:rsidR="00B662A2" w:rsidRDefault="00D960BC" w:rsidP="00D960BC">
      <w:pPr>
        <w:pStyle w:val="ae"/>
        <w:jc w:val="center"/>
      </w:pPr>
      <w:bookmarkStart w:id="80" w:name="_Toc67396682"/>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3</w:t>
      </w:r>
      <w:r w:rsidR="0096217C">
        <w:rPr>
          <w:noProof/>
        </w:rPr>
        <w:fldChar w:fldCharType="end"/>
      </w:r>
      <w:r w:rsidR="00B662A2" w:rsidRPr="00B662A2">
        <w:t xml:space="preserve"> Εκτέλεση Προϋπολογισμού Γενικής Κυβέρνησης Ιανουαρίου – Δεκεμβρίου, σε εκατ. ευρώ</w:t>
      </w:r>
      <w:bookmarkEnd w:id="80"/>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2075"/>
        <w:gridCol w:w="1102"/>
        <w:gridCol w:w="1503"/>
      </w:tblGrid>
      <w:tr w:rsidR="00F63EF9" w:rsidRPr="00A57564" w14:paraId="4BCE64ED" w14:textId="77777777" w:rsidTr="00A57564">
        <w:trPr>
          <w:trHeight w:val="245"/>
          <w:jc w:val="center"/>
        </w:trPr>
        <w:tc>
          <w:tcPr>
            <w:tcW w:w="3550" w:type="dxa"/>
            <w:tcBorders>
              <w:bottom w:val="single" w:sz="4" w:space="0" w:color="auto"/>
            </w:tcBorders>
            <w:hideMark/>
          </w:tcPr>
          <w:p w14:paraId="1966A7CB" w14:textId="77777777" w:rsidR="00F63EF9" w:rsidRPr="00A57564" w:rsidRDefault="00F63EF9" w:rsidP="001A034F">
            <w:pPr>
              <w:rPr>
                <w:rFonts w:ascii="Calibri" w:eastAsia="Calibri" w:hAnsi="Calibri" w:cs="Calibri"/>
                <w:b/>
                <w:i/>
                <w:iCs/>
                <w:color w:val="595959"/>
                <w:sz w:val="18"/>
                <w:szCs w:val="18"/>
              </w:rPr>
            </w:pPr>
          </w:p>
        </w:tc>
        <w:tc>
          <w:tcPr>
            <w:tcW w:w="2075" w:type="dxa"/>
            <w:tcBorders>
              <w:bottom w:val="single" w:sz="4" w:space="0" w:color="auto"/>
            </w:tcBorders>
            <w:vAlign w:val="center"/>
            <w:hideMark/>
          </w:tcPr>
          <w:p w14:paraId="123FD564" w14:textId="77777777" w:rsidR="00F63EF9" w:rsidRPr="00A57564" w:rsidRDefault="00F63EF9" w:rsidP="001A034F">
            <w:pPr>
              <w:jc w:val="center"/>
              <w:rPr>
                <w:rFonts w:ascii="Calibri" w:eastAsia="Calibri" w:hAnsi="Calibri" w:cs="Calibri"/>
                <w:b/>
                <w:color w:val="595959"/>
                <w:sz w:val="18"/>
                <w:szCs w:val="18"/>
              </w:rPr>
            </w:pPr>
            <w:r w:rsidRPr="00A57564">
              <w:rPr>
                <w:rFonts w:ascii="Calibri" w:eastAsia="Calibri" w:hAnsi="Calibri" w:cs="Calibri"/>
                <w:b/>
                <w:color w:val="595959"/>
                <w:sz w:val="18"/>
                <w:szCs w:val="18"/>
              </w:rPr>
              <w:t>2019</w:t>
            </w:r>
          </w:p>
        </w:tc>
        <w:tc>
          <w:tcPr>
            <w:tcW w:w="1102" w:type="dxa"/>
            <w:tcBorders>
              <w:bottom w:val="single" w:sz="4" w:space="0" w:color="auto"/>
            </w:tcBorders>
            <w:vAlign w:val="center"/>
            <w:hideMark/>
          </w:tcPr>
          <w:p w14:paraId="35EA0B1C" w14:textId="77777777" w:rsidR="00F63EF9" w:rsidRPr="00A57564" w:rsidRDefault="00F63EF9" w:rsidP="001A034F">
            <w:pPr>
              <w:jc w:val="center"/>
              <w:rPr>
                <w:rFonts w:ascii="Calibri" w:eastAsia="Calibri" w:hAnsi="Calibri" w:cs="Calibri"/>
                <w:b/>
                <w:color w:val="595959"/>
                <w:sz w:val="18"/>
                <w:szCs w:val="18"/>
              </w:rPr>
            </w:pPr>
            <w:r w:rsidRPr="00A57564">
              <w:rPr>
                <w:rFonts w:ascii="Calibri" w:eastAsia="Calibri" w:hAnsi="Calibri" w:cs="Calibri"/>
                <w:b/>
                <w:color w:val="595959"/>
                <w:sz w:val="18"/>
                <w:szCs w:val="18"/>
              </w:rPr>
              <w:t>2020</w:t>
            </w:r>
          </w:p>
        </w:tc>
        <w:tc>
          <w:tcPr>
            <w:tcW w:w="1502" w:type="dxa"/>
            <w:tcBorders>
              <w:bottom w:val="single" w:sz="4" w:space="0" w:color="auto"/>
            </w:tcBorders>
            <w:vAlign w:val="center"/>
            <w:hideMark/>
          </w:tcPr>
          <w:p w14:paraId="6EB90A56" w14:textId="77777777" w:rsidR="00F63EF9" w:rsidRPr="00A57564" w:rsidRDefault="00F63EF9" w:rsidP="001A034F">
            <w:pPr>
              <w:jc w:val="center"/>
              <w:rPr>
                <w:rFonts w:ascii="Calibri" w:eastAsia="Calibri" w:hAnsi="Calibri" w:cs="Calibri"/>
                <w:b/>
                <w:color w:val="595959"/>
                <w:sz w:val="18"/>
                <w:szCs w:val="18"/>
              </w:rPr>
            </w:pPr>
            <w:r w:rsidRPr="00A57564">
              <w:rPr>
                <w:rFonts w:ascii="Calibri" w:eastAsia="Calibri" w:hAnsi="Calibri" w:cs="Calibri"/>
                <w:b/>
                <w:color w:val="595959"/>
                <w:sz w:val="18"/>
                <w:szCs w:val="18"/>
              </w:rPr>
              <w:t>Διαφορά</w:t>
            </w:r>
          </w:p>
        </w:tc>
      </w:tr>
      <w:tr w:rsidR="00F63EF9" w:rsidRPr="00A57564" w14:paraId="2A31D8B5" w14:textId="77777777" w:rsidTr="00A57564">
        <w:trPr>
          <w:trHeight w:val="245"/>
          <w:jc w:val="center"/>
        </w:trPr>
        <w:tc>
          <w:tcPr>
            <w:tcW w:w="8230" w:type="dxa"/>
            <w:gridSpan w:val="4"/>
            <w:tcBorders>
              <w:top w:val="single" w:sz="4" w:space="0" w:color="auto"/>
            </w:tcBorders>
            <w:hideMark/>
          </w:tcPr>
          <w:p w14:paraId="4802B04A" w14:textId="77777777" w:rsidR="00F63EF9" w:rsidRPr="00A57564" w:rsidRDefault="00F63EF9" w:rsidP="001A034F">
            <w:pPr>
              <w:jc w:val="center"/>
              <w:rPr>
                <w:rFonts w:ascii="Calibri" w:eastAsia="Calibri" w:hAnsi="Calibri" w:cs="Calibri"/>
                <w:b/>
                <w:bCs/>
                <w:color w:val="595959"/>
                <w:sz w:val="18"/>
                <w:szCs w:val="18"/>
              </w:rPr>
            </w:pPr>
            <w:r w:rsidRPr="00A57564">
              <w:rPr>
                <w:rFonts w:ascii="Calibri" w:eastAsia="Calibri" w:hAnsi="Calibri" w:cs="Calibri"/>
                <w:b/>
                <w:bCs/>
                <w:color w:val="595959"/>
                <w:sz w:val="18"/>
                <w:szCs w:val="18"/>
              </w:rPr>
              <w:t>Κρατικός Προϋπολογισμός</w:t>
            </w:r>
          </w:p>
        </w:tc>
      </w:tr>
      <w:tr w:rsidR="00F63EF9" w:rsidRPr="00A57564" w14:paraId="0293C529" w14:textId="77777777" w:rsidTr="00A57564">
        <w:trPr>
          <w:trHeight w:val="258"/>
          <w:jc w:val="center"/>
        </w:trPr>
        <w:tc>
          <w:tcPr>
            <w:tcW w:w="3550" w:type="dxa"/>
            <w:vAlign w:val="center"/>
            <w:hideMark/>
          </w:tcPr>
          <w:p w14:paraId="555358B7"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Καθαρά Έσοδα Κρατικού Προϋπολογισμού</w:t>
            </w:r>
          </w:p>
        </w:tc>
        <w:tc>
          <w:tcPr>
            <w:tcW w:w="2075" w:type="dxa"/>
            <w:tcBorders>
              <w:top w:val="nil"/>
              <w:left w:val="nil"/>
              <w:bottom w:val="nil"/>
              <w:right w:val="nil"/>
            </w:tcBorders>
            <w:shd w:val="clear" w:color="auto" w:fill="auto"/>
            <w:noWrap/>
            <w:vAlign w:val="center"/>
          </w:tcPr>
          <w:p w14:paraId="797F50D3"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55.097</w:t>
            </w:r>
          </w:p>
        </w:tc>
        <w:tc>
          <w:tcPr>
            <w:tcW w:w="1102" w:type="dxa"/>
            <w:tcBorders>
              <w:top w:val="nil"/>
              <w:left w:val="nil"/>
              <w:bottom w:val="nil"/>
              <w:right w:val="nil"/>
            </w:tcBorders>
            <w:shd w:val="clear" w:color="auto" w:fill="auto"/>
            <w:noWrap/>
            <w:vAlign w:val="center"/>
          </w:tcPr>
          <w:p w14:paraId="244CA185"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47.364</w:t>
            </w:r>
          </w:p>
        </w:tc>
        <w:tc>
          <w:tcPr>
            <w:tcW w:w="1502" w:type="dxa"/>
            <w:tcBorders>
              <w:top w:val="nil"/>
              <w:left w:val="nil"/>
              <w:bottom w:val="nil"/>
              <w:right w:val="nil"/>
            </w:tcBorders>
            <w:shd w:val="clear" w:color="auto" w:fill="auto"/>
            <w:noWrap/>
            <w:vAlign w:val="center"/>
          </w:tcPr>
          <w:p w14:paraId="2ADD3054"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-7.734</w:t>
            </w:r>
          </w:p>
        </w:tc>
      </w:tr>
      <w:tr w:rsidR="00F63EF9" w:rsidRPr="00A57564" w14:paraId="75960489" w14:textId="77777777" w:rsidTr="00A57564">
        <w:trPr>
          <w:trHeight w:val="245"/>
          <w:jc w:val="center"/>
        </w:trPr>
        <w:tc>
          <w:tcPr>
            <w:tcW w:w="3550" w:type="dxa"/>
            <w:vAlign w:val="center"/>
            <w:hideMark/>
          </w:tcPr>
          <w:p w14:paraId="79FF63AC"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Φορολογικά Έσοδα</w:t>
            </w:r>
          </w:p>
        </w:tc>
        <w:tc>
          <w:tcPr>
            <w:tcW w:w="2075" w:type="dxa"/>
            <w:tcBorders>
              <w:top w:val="nil"/>
              <w:left w:val="nil"/>
              <w:bottom w:val="nil"/>
              <w:right w:val="nil"/>
            </w:tcBorders>
            <w:shd w:val="clear" w:color="auto" w:fill="auto"/>
            <w:noWrap/>
            <w:vAlign w:val="center"/>
          </w:tcPr>
          <w:p w14:paraId="559FBD0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51.415</w:t>
            </w:r>
          </w:p>
        </w:tc>
        <w:tc>
          <w:tcPr>
            <w:tcW w:w="1102" w:type="dxa"/>
            <w:tcBorders>
              <w:top w:val="nil"/>
              <w:left w:val="nil"/>
              <w:bottom w:val="nil"/>
              <w:right w:val="nil"/>
            </w:tcBorders>
            <w:shd w:val="clear" w:color="auto" w:fill="auto"/>
            <w:noWrap/>
            <w:vAlign w:val="center"/>
          </w:tcPr>
          <w:p w14:paraId="6C2312D9"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43.198</w:t>
            </w:r>
          </w:p>
        </w:tc>
        <w:tc>
          <w:tcPr>
            <w:tcW w:w="1502" w:type="dxa"/>
            <w:tcBorders>
              <w:top w:val="nil"/>
              <w:left w:val="nil"/>
              <w:bottom w:val="nil"/>
              <w:right w:val="nil"/>
            </w:tcBorders>
            <w:shd w:val="clear" w:color="auto" w:fill="auto"/>
            <w:noWrap/>
            <w:vAlign w:val="center"/>
          </w:tcPr>
          <w:p w14:paraId="18970B37"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-8.216</w:t>
            </w:r>
          </w:p>
        </w:tc>
      </w:tr>
      <w:tr w:rsidR="00F63EF9" w:rsidRPr="00A57564" w14:paraId="4BF3E865" w14:textId="77777777" w:rsidTr="00A57564">
        <w:trPr>
          <w:trHeight w:val="245"/>
          <w:jc w:val="center"/>
        </w:trPr>
        <w:tc>
          <w:tcPr>
            <w:tcW w:w="3550" w:type="dxa"/>
            <w:vAlign w:val="center"/>
            <w:hideMark/>
          </w:tcPr>
          <w:p w14:paraId="1738E785"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 xml:space="preserve">Μη Φορολογικά και μη Τακτικά Έσοδα </w:t>
            </w:r>
          </w:p>
        </w:tc>
        <w:tc>
          <w:tcPr>
            <w:tcW w:w="2075" w:type="dxa"/>
            <w:tcBorders>
              <w:top w:val="nil"/>
              <w:left w:val="nil"/>
              <w:bottom w:val="nil"/>
              <w:right w:val="nil"/>
            </w:tcBorders>
            <w:shd w:val="clear" w:color="auto" w:fill="auto"/>
            <w:noWrap/>
            <w:vAlign w:val="center"/>
          </w:tcPr>
          <w:p w14:paraId="7D169495"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5.869</w:t>
            </w:r>
          </w:p>
        </w:tc>
        <w:tc>
          <w:tcPr>
            <w:tcW w:w="1102" w:type="dxa"/>
            <w:tcBorders>
              <w:top w:val="nil"/>
              <w:left w:val="nil"/>
              <w:bottom w:val="nil"/>
              <w:right w:val="nil"/>
            </w:tcBorders>
            <w:shd w:val="clear" w:color="auto" w:fill="auto"/>
            <w:noWrap/>
            <w:vAlign w:val="center"/>
          </w:tcPr>
          <w:p w14:paraId="664F0BF7"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4.296</w:t>
            </w:r>
          </w:p>
        </w:tc>
        <w:tc>
          <w:tcPr>
            <w:tcW w:w="1502" w:type="dxa"/>
            <w:tcBorders>
              <w:top w:val="nil"/>
              <w:left w:val="nil"/>
              <w:bottom w:val="nil"/>
              <w:right w:val="nil"/>
            </w:tcBorders>
            <w:shd w:val="clear" w:color="auto" w:fill="auto"/>
            <w:noWrap/>
            <w:vAlign w:val="center"/>
          </w:tcPr>
          <w:p w14:paraId="018AFC0B"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-1.573</w:t>
            </w:r>
          </w:p>
        </w:tc>
      </w:tr>
      <w:tr w:rsidR="00F63EF9" w:rsidRPr="00A57564" w14:paraId="7C1A6265" w14:textId="77777777" w:rsidTr="00A57564">
        <w:trPr>
          <w:trHeight w:val="245"/>
          <w:jc w:val="center"/>
        </w:trPr>
        <w:tc>
          <w:tcPr>
            <w:tcW w:w="3550" w:type="dxa"/>
            <w:vAlign w:val="center"/>
            <w:hideMark/>
          </w:tcPr>
          <w:p w14:paraId="67273F96"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Επιστροφές φόρων</w:t>
            </w:r>
          </w:p>
        </w:tc>
        <w:tc>
          <w:tcPr>
            <w:tcW w:w="2075" w:type="dxa"/>
            <w:tcBorders>
              <w:top w:val="nil"/>
              <w:left w:val="nil"/>
              <w:bottom w:val="nil"/>
              <w:right w:val="nil"/>
            </w:tcBorders>
            <w:shd w:val="clear" w:color="auto" w:fill="auto"/>
            <w:noWrap/>
            <w:vAlign w:val="center"/>
          </w:tcPr>
          <w:p w14:paraId="67BF3B13"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5.044</w:t>
            </w:r>
          </w:p>
        </w:tc>
        <w:tc>
          <w:tcPr>
            <w:tcW w:w="1102" w:type="dxa"/>
            <w:tcBorders>
              <w:top w:val="nil"/>
              <w:left w:val="nil"/>
              <w:bottom w:val="nil"/>
              <w:right w:val="nil"/>
            </w:tcBorders>
            <w:shd w:val="clear" w:color="auto" w:fill="auto"/>
            <w:noWrap/>
            <w:vAlign w:val="center"/>
          </w:tcPr>
          <w:p w14:paraId="2E4A4316"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5.672</w:t>
            </w:r>
          </w:p>
        </w:tc>
        <w:tc>
          <w:tcPr>
            <w:tcW w:w="1502" w:type="dxa"/>
            <w:tcBorders>
              <w:top w:val="nil"/>
              <w:left w:val="nil"/>
              <w:bottom w:val="nil"/>
              <w:right w:val="nil"/>
            </w:tcBorders>
            <w:shd w:val="clear" w:color="auto" w:fill="auto"/>
            <w:noWrap/>
            <w:vAlign w:val="center"/>
          </w:tcPr>
          <w:p w14:paraId="71FC6E2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628</w:t>
            </w:r>
          </w:p>
        </w:tc>
      </w:tr>
      <w:tr w:rsidR="00F63EF9" w:rsidRPr="00A57564" w14:paraId="5E3C29B6" w14:textId="77777777" w:rsidTr="00A57564">
        <w:trPr>
          <w:trHeight w:val="245"/>
          <w:jc w:val="center"/>
        </w:trPr>
        <w:tc>
          <w:tcPr>
            <w:tcW w:w="3550" w:type="dxa"/>
            <w:vAlign w:val="center"/>
            <w:hideMark/>
          </w:tcPr>
          <w:p w14:paraId="1B3DBEB2"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Έσοδα ΠΔΕ</w:t>
            </w:r>
          </w:p>
        </w:tc>
        <w:tc>
          <w:tcPr>
            <w:tcW w:w="2075" w:type="dxa"/>
            <w:tcBorders>
              <w:top w:val="nil"/>
              <w:left w:val="nil"/>
              <w:bottom w:val="nil"/>
              <w:right w:val="nil"/>
            </w:tcBorders>
            <w:shd w:val="clear" w:color="auto" w:fill="auto"/>
            <w:noWrap/>
            <w:vAlign w:val="center"/>
          </w:tcPr>
          <w:p w14:paraId="2AC96BD6"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2.857</w:t>
            </w:r>
          </w:p>
        </w:tc>
        <w:tc>
          <w:tcPr>
            <w:tcW w:w="1102" w:type="dxa"/>
            <w:tcBorders>
              <w:top w:val="nil"/>
              <w:left w:val="nil"/>
              <w:bottom w:val="nil"/>
              <w:right w:val="nil"/>
            </w:tcBorders>
            <w:shd w:val="clear" w:color="auto" w:fill="auto"/>
            <w:noWrap/>
            <w:vAlign w:val="center"/>
          </w:tcPr>
          <w:p w14:paraId="0C3ABAED"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5.542</w:t>
            </w:r>
          </w:p>
        </w:tc>
        <w:tc>
          <w:tcPr>
            <w:tcW w:w="1502" w:type="dxa"/>
            <w:tcBorders>
              <w:top w:val="nil"/>
              <w:left w:val="nil"/>
              <w:bottom w:val="nil"/>
              <w:right w:val="nil"/>
            </w:tcBorders>
            <w:shd w:val="clear" w:color="auto" w:fill="auto"/>
            <w:noWrap/>
            <w:vAlign w:val="center"/>
          </w:tcPr>
          <w:p w14:paraId="4421C2D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2.684</w:t>
            </w:r>
          </w:p>
        </w:tc>
      </w:tr>
      <w:tr w:rsidR="00F63EF9" w:rsidRPr="00A57564" w14:paraId="5EFD7992" w14:textId="77777777" w:rsidTr="00A57564">
        <w:trPr>
          <w:trHeight w:val="263"/>
          <w:jc w:val="center"/>
        </w:trPr>
        <w:tc>
          <w:tcPr>
            <w:tcW w:w="3550" w:type="dxa"/>
            <w:vAlign w:val="center"/>
            <w:hideMark/>
          </w:tcPr>
          <w:p w14:paraId="45191E22"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Δαπάνες Κρατικού Προϋπολογισμού</w:t>
            </w:r>
          </w:p>
        </w:tc>
        <w:tc>
          <w:tcPr>
            <w:tcW w:w="2075" w:type="dxa"/>
            <w:tcBorders>
              <w:top w:val="nil"/>
              <w:left w:val="nil"/>
              <w:bottom w:val="nil"/>
              <w:right w:val="nil"/>
            </w:tcBorders>
            <w:shd w:val="clear" w:color="auto" w:fill="auto"/>
            <w:noWrap/>
            <w:vAlign w:val="center"/>
          </w:tcPr>
          <w:p w14:paraId="6FA5D138"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55.265</w:t>
            </w:r>
          </w:p>
        </w:tc>
        <w:tc>
          <w:tcPr>
            <w:tcW w:w="1102" w:type="dxa"/>
            <w:tcBorders>
              <w:top w:val="nil"/>
              <w:left w:val="nil"/>
              <w:bottom w:val="nil"/>
              <w:right w:val="nil"/>
            </w:tcBorders>
            <w:shd w:val="clear" w:color="auto" w:fill="auto"/>
            <w:noWrap/>
            <w:vAlign w:val="center"/>
          </w:tcPr>
          <w:p w14:paraId="47584D80"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70.169</w:t>
            </w:r>
          </w:p>
        </w:tc>
        <w:tc>
          <w:tcPr>
            <w:tcW w:w="1502" w:type="dxa"/>
            <w:tcBorders>
              <w:top w:val="nil"/>
              <w:left w:val="nil"/>
              <w:bottom w:val="nil"/>
              <w:right w:val="nil"/>
            </w:tcBorders>
            <w:shd w:val="clear" w:color="auto" w:fill="auto"/>
            <w:noWrap/>
            <w:vAlign w:val="center"/>
          </w:tcPr>
          <w:p w14:paraId="21A20098"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14.904</w:t>
            </w:r>
          </w:p>
        </w:tc>
      </w:tr>
      <w:tr w:rsidR="00F63EF9" w:rsidRPr="00A57564" w14:paraId="4D1F5833" w14:textId="77777777" w:rsidTr="00A57564">
        <w:trPr>
          <w:trHeight w:val="210"/>
          <w:jc w:val="center"/>
        </w:trPr>
        <w:tc>
          <w:tcPr>
            <w:tcW w:w="3550" w:type="dxa"/>
            <w:vAlign w:val="center"/>
            <w:hideMark/>
          </w:tcPr>
          <w:p w14:paraId="3D2DB247"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Πρωτογενείς δαπάνες τακτικού</w:t>
            </w:r>
          </w:p>
        </w:tc>
        <w:tc>
          <w:tcPr>
            <w:tcW w:w="2075" w:type="dxa"/>
            <w:tcBorders>
              <w:top w:val="nil"/>
              <w:left w:val="nil"/>
              <w:bottom w:val="nil"/>
              <w:right w:val="nil"/>
            </w:tcBorders>
            <w:shd w:val="clear" w:color="auto" w:fill="auto"/>
            <w:noWrap/>
            <w:vAlign w:val="center"/>
          </w:tcPr>
          <w:p w14:paraId="1D1D1846"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44.399</w:t>
            </w:r>
          </w:p>
        </w:tc>
        <w:tc>
          <w:tcPr>
            <w:tcW w:w="1102" w:type="dxa"/>
            <w:tcBorders>
              <w:top w:val="nil"/>
              <w:left w:val="nil"/>
              <w:bottom w:val="nil"/>
              <w:right w:val="nil"/>
            </w:tcBorders>
            <w:shd w:val="clear" w:color="auto" w:fill="auto"/>
            <w:noWrap/>
            <w:vAlign w:val="center"/>
          </w:tcPr>
          <w:p w14:paraId="0038FE0A"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54.749</w:t>
            </w:r>
          </w:p>
        </w:tc>
        <w:tc>
          <w:tcPr>
            <w:tcW w:w="1502" w:type="dxa"/>
            <w:tcBorders>
              <w:top w:val="nil"/>
              <w:left w:val="nil"/>
              <w:bottom w:val="nil"/>
              <w:right w:val="nil"/>
            </w:tcBorders>
            <w:shd w:val="clear" w:color="auto" w:fill="auto"/>
            <w:noWrap/>
            <w:vAlign w:val="center"/>
          </w:tcPr>
          <w:p w14:paraId="2576797C"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10.350</w:t>
            </w:r>
          </w:p>
        </w:tc>
      </w:tr>
      <w:tr w:rsidR="00F63EF9" w:rsidRPr="00A57564" w14:paraId="3260E39A" w14:textId="77777777" w:rsidTr="00A57564">
        <w:trPr>
          <w:trHeight w:val="245"/>
          <w:jc w:val="center"/>
        </w:trPr>
        <w:tc>
          <w:tcPr>
            <w:tcW w:w="3550" w:type="dxa"/>
            <w:vAlign w:val="center"/>
            <w:hideMark/>
          </w:tcPr>
          <w:p w14:paraId="46876FB3"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Τόκοι</w:t>
            </w:r>
          </w:p>
        </w:tc>
        <w:tc>
          <w:tcPr>
            <w:tcW w:w="2075" w:type="dxa"/>
            <w:tcBorders>
              <w:top w:val="nil"/>
              <w:left w:val="nil"/>
              <w:bottom w:val="nil"/>
              <w:right w:val="nil"/>
            </w:tcBorders>
            <w:shd w:val="clear" w:color="auto" w:fill="auto"/>
            <w:noWrap/>
            <w:vAlign w:val="center"/>
          </w:tcPr>
          <w:p w14:paraId="54D4F15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5.225</w:t>
            </w:r>
          </w:p>
        </w:tc>
        <w:tc>
          <w:tcPr>
            <w:tcW w:w="1102" w:type="dxa"/>
            <w:tcBorders>
              <w:top w:val="nil"/>
              <w:left w:val="nil"/>
              <w:bottom w:val="nil"/>
              <w:right w:val="nil"/>
            </w:tcBorders>
            <w:shd w:val="clear" w:color="auto" w:fill="auto"/>
            <w:noWrap/>
            <w:vAlign w:val="center"/>
          </w:tcPr>
          <w:p w14:paraId="083B126A"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4.774</w:t>
            </w:r>
          </w:p>
        </w:tc>
        <w:tc>
          <w:tcPr>
            <w:tcW w:w="1502" w:type="dxa"/>
            <w:tcBorders>
              <w:top w:val="nil"/>
              <w:left w:val="nil"/>
              <w:bottom w:val="nil"/>
              <w:right w:val="nil"/>
            </w:tcBorders>
            <w:shd w:val="clear" w:color="auto" w:fill="auto"/>
            <w:noWrap/>
            <w:vAlign w:val="center"/>
          </w:tcPr>
          <w:p w14:paraId="5D3E1963"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-451</w:t>
            </w:r>
          </w:p>
        </w:tc>
      </w:tr>
      <w:tr w:rsidR="00F63EF9" w:rsidRPr="00A57564" w14:paraId="5FAADA43" w14:textId="77777777" w:rsidTr="0096217C">
        <w:trPr>
          <w:trHeight w:val="205"/>
          <w:jc w:val="center"/>
        </w:trPr>
        <w:tc>
          <w:tcPr>
            <w:tcW w:w="3550" w:type="dxa"/>
            <w:vAlign w:val="center"/>
            <w:hideMark/>
          </w:tcPr>
          <w:p w14:paraId="4A084F5B"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Δαπάνες ΠΔΕ</w:t>
            </w:r>
          </w:p>
        </w:tc>
        <w:tc>
          <w:tcPr>
            <w:tcW w:w="2075" w:type="dxa"/>
            <w:tcBorders>
              <w:top w:val="nil"/>
              <w:left w:val="nil"/>
              <w:right w:val="nil"/>
            </w:tcBorders>
            <w:shd w:val="clear" w:color="auto" w:fill="auto"/>
            <w:noWrap/>
            <w:vAlign w:val="center"/>
          </w:tcPr>
          <w:p w14:paraId="3BD929AE"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5.642</w:t>
            </w:r>
          </w:p>
        </w:tc>
        <w:tc>
          <w:tcPr>
            <w:tcW w:w="1102" w:type="dxa"/>
            <w:tcBorders>
              <w:top w:val="nil"/>
              <w:left w:val="nil"/>
              <w:right w:val="nil"/>
            </w:tcBorders>
            <w:shd w:val="clear" w:color="auto" w:fill="auto"/>
            <w:noWrap/>
            <w:vAlign w:val="center"/>
          </w:tcPr>
          <w:p w14:paraId="1520C6F7"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10.647</w:t>
            </w:r>
          </w:p>
        </w:tc>
        <w:tc>
          <w:tcPr>
            <w:tcW w:w="1502" w:type="dxa"/>
            <w:tcBorders>
              <w:top w:val="nil"/>
              <w:left w:val="nil"/>
              <w:right w:val="nil"/>
            </w:tcBorders>
            <w:shd w:val="clear" w:color="auto" w:fill="auto"/>
            <w:noWrap/>
            <w:vAlign w:val="center"/>
          </w:tcPr>
          <w:p w14:paraId="257DA189"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5.005</w:t>
            </w:r>
          </w:p>
        </w:tc>
      </w:tr>
      <w:tr w:rsidR="00F63EF9" w:rsidRPr="00A57564" w14:paraId="6CE372DA" w14:textId="77777777" w:rsidTr="0096217C">
        <w:trPr>
          <w:trHeight w:val="451"/>
          <w:jc w:val="center"/>
        </w:trPr>
        <w:tc>
          <w:tcPr>
            <w:tcW w:w="3550" w:type="dxa"/>
            <w:tcBorders>
              <w:bottom w:val="single" w:sz="4" w:space="0" w:color="auto"/>
            </w:tcBorders>
            <w:vAlign w:val="center"/>
            <w:hideMark/>
          </w:tcPr>
          <w:p w14:paraId="38841FD8"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Πρωτογενές αποτέλεσμα Κρατικού Προϋπολογισμού</w:t>
            </w:r>
          </w:p>
        </w:tc>
        <w:tc>
          <w:tcPr>
            <w:tcW w:w="2075" w:type="dxa"/>
            <w:tcBorders>
              <w:top w:val="nil"/>
              <w:left w:val="nil"/>
              <w:bottom w:val="single" w:sz="4" w:space="0" w:color="auto"/>
              <w:right w:val="nil"/>
            </w:tcBorders>
            <w:shd w:val="clear" w:color="auto" w:fill="auto"/>
            <w:noWrap/>
            <w:vAlign w:val="center"/>
          </w:tcPr>
          <w:p w14:paraId="3FC683B3"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5.017</w:t>
            </w:r>
          </w:p>
        </w:tc>
        <w:tc>
          <w:tcPr>
            <w:tcW w:w="1102" w:type="dxa"/>
            <w:tcBorders>
              <w:top w:val="nil"/>
              <w:left w:val="nil"/>
              <w:bottom w:val="single" w:sz="4" w:space="0" w:color="auto"/>
              <w:right w:val="nil"/>
            </w:tcBorders>
            <w:shd w:val="clear" w:color="auto" w:fill="auto"/>
            <w:noWrap/>
            <w:vAlign w:val="center"/>
          </w:tcPr>
          <w:p w14:paraId="3DB748E3"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-18.195</w:t>
            </w:r>
          </w:p>
        </w:tc>
        <w:tc>
          <w:tcPr>
            <w:tcW w:w="1502" w:type="dxa"/>
            <w:tcBorders>
              <w:top w:val="nil"/>
              <w:left w:val="nil"/>
              <w:bottom w:val="single" w:sz="4" w:space="0" w:color="auto"/>
              <w:right w:val="nil"/>
            </w:tcBorders>
            <w:shd w:val="clear" w:color="auto" w:fill="auto"/>
            <w:noWrap/>
            <w:vAlign w:val="center"/>
          </w:tcPr>
          <w:p w14:paraId="3B7404A8"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-23.212</w:t>
            </w:r>
          </w:p>
        </w:tc>
      </w:tr>
      <w:tr w:rsidR="00F63EF9" w:rsidRPr="00A57564" w14:paraId="361966BD" w14:textId="77777777" w:rsidTr="0096217C">
        <w:trPr>
          <w:trHeight w:val="225"/>
          <w:jc w:val="center"/>
        </w:trPr>
        <w:tc>
          <w:tcPr>
            <w:tcW w:w="8230" w:type="dxa"/>
            <w:gridSpan w:val="4"/>
            <w:tcBorders>
              <w:top w:val="single" w:sz="4" w:space="0" w:color="auto"/>
            </w:tcBorders>
            <w:noWrap/>
            <w:vAlign w:val="center"/>
            <w:hideMark/>
          </w:tcPr>
          <w:p w14:paraId="6CB9FC85" w14:textId="77777777" w:rsidR="00F63EF9" w:rsidRPr="00A57564" w:rsidRDefault="00F63EF9" w:rsidP="001A034F">
            <w:pPr>
              <w:jc w:val="center"/>
              <w:rPr>
                <w:rFonts w:ascii="Calibri" w:eastAsia="Calibri" w:hAnsi="Calibri" w:cs="Calibri"/>
                <w:b/>
                <w:bCs/>
                <w:color w:val="595959"/>
                <w:sz w:val="18"/>
                <w:szCs w:val="18"/>
              </w:rPr>
            </w:pPr>
            <w:r w:rsidRPr="00A57564">
              <w:rPr>
                <w:rFonts w:ascii="Calibri" w:eastAsia="Calibri" w:hAnsi="Calibri" w:cs="Calibri"/>
                <w:b/>
                <w:bCs/>
                <w:color w:val="595959"/>
                <w:sz w:val="18"/>
                <w:szCs w:val="18"/>
              </w:rPr>
              <w:t>Νομικά Πρόσωπα εκτός Κρατικού Προϋπολογισμού</w:t>
            </w:r>
          </w:p>
        </w:tc>
      </w:tr>
      <w:tr w:rsidR="00F63EF9" w:rsidRPr="00A57564" w14:paraId="117DE635" w14:textId="77777777" w:rsidTr="00A57564">
        <w:trPr>
          <w:trHeight w:val="235"/>
          <w:jc w:val="center"/>
        </w:trPr>
        <w:tc>
          <w:tcPr>
            <w:tcW w:w="3550" w:type="dxa"/>
            <w:noWrap/>
            <w:vAlign w:val="center"/>
            <w:hideMark/>
          </w:tcPr>
          <w:p w14:paraId="07873435" w14:textId="77777777" w:rsidR="00F63EF9" w:rsidRPr="00A57564" w:rsidRDefault="00F63EF9" w:rsidP="001A034F">
            <w:pPr>
              <w:tabs>
                <w:tab w:val="center" w:pos="1732"/>
              </w:tabs>
              <w:rPr>
                <w:rFonts w:ascii="Calibri" w:eastAsia="Calibri" w:hAnsi="Calibri" w:cs="Calibri"/>
                <w:bCs/>
                <w:color w:val="595959"/>
                <w:sz w:val="18"/>
                <w:szCs w:val="18"/>
              </w:rPr>
            </w:pPr>
            <w:r w:rsidRPr="00A57564">
              <w:rPr>
                <w:rFonts w:ascii="Calibri" w:eastAsia="Calibri" w:hAnsi="Calibri" w:cs="Calibri"/>
                <w:bCs/>
                <w:color w:val="595959"/>
                <w:sz w:val="18"/>
                <w:szCs w:val="18"/>
              </w:rPr>
              <w:t>Έσοδα</w:t>
            </w:r>
          </w:p>
        </w:tc>
        <w:tc>
          <w:tcPr>
            <w:tcW w:w="2075" w:type="dxa"/>
            <w:tcBorders>
              <w:top w:val="nil"/>
              <w:left w:val="nil"/>
              <w:bottom w:val="nil"/>
              <w:right w:val="nil"/>
            </w:tcBorders>
            <w:shd w:val="clear" w:color="auto" w:fill="auto"/>
            <w:noWrap/>
            <w:vAlign w:val="center"/>
          </w:tcPr>
          <w:p w14:paraId="68EA9D0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14.565</w:t>
            </w:r>
          </w:p>
        </w:tc>
        <w:tc>
          <w:tcPr>
            <w:tcW w:w="1102" w:type="dxa"/>
            <w:tcBorders>
              <w:top w:val="nil"/>
              <w:left w:val="nil"/>
              <w:bottom w:val="nil"/>
              <w:right w:val="nil"/>
            </w:tcBorders>
            <w:shd w:val="clear" w:color="auto" w:fill="auto"/>
            <w:noWrap/>
            <w:vAlign w:val="center"/>
          </w:tcPr>
          <w:p w14:paraId="0B973C90"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17.706</w:t>
            </w:r>
          </w:p>
        </w:tc>
        <w:tc>
          <w:tcPr>
            <w:tcW w:w="1502" w:type="dxa"/>
            <w:tcBorders>
              <w:top w:val="nil"/>
              <w:left w:val="nil"/>
              <w:bottom w:val="nil"/>
              <w:right w:val="nil"/>
            </w:tcBorders>
            <w:shd w:val="clear" w:color="auto" w:fill="auto"/>
            <w:noWrap/>
            <w:vAlign w:val="center"/>
          </w:tcPr>
          <w:p w14:paraId="43FB0F11"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3.141</w:t>
            </w:r>
          </w:p>
        </w:tc>
      </w:tr>
      <w:tr w:rsidR="00F63EF9" w:rsidRPr="00A57564" w14:paraId="4542CD3E" w14:textId="77777777" w:rsidTr="00A57564">
        <w:trPr>
          <w:trHeight w:val="244"/>
          <w:jc w:val="center"/>
        </w:trPr>
        <w:tc>
          <w:tcPr>
            <w:tcW w:w="3550" w:type="dxa"/>
            <w:noWrap/>
            <w:vAlign w:val="center"/>
          </w:tcPr>
          <w:p w14:paraId="25F5295E" w14:textId="77777777" w:rsidR="00F63EF9" w:rsidRPr="00A57564" w:rsidRDefault="00F63EF9" w:rsidP="001A034F">
            <w:pPr>
              <w:rPr>
                <w:rFonts w:ascii="Calibri" w:eastAsia="Calibri" w:hAnsi="Calibri" w:cs="Calibri"/>
                <w:bCs/>
                <w:i/>
                <w:color w:val="595959"/>
                <w:sz w:val="18"/>
                <w:szCs w:val="18"/>
              </w:rPr>
            </w:pPr>
            <w:r w:rsidRPr="00A57564">
              <w:rPr>
                <w:rFonts w:ascii="Calibri" w:eastAsia="Calibri" w:hAnsi="Calibri" w:cs="Times New Roman"/>
                <w:bCs/>
                <w:i/>
                <w:color w:val="595959"/>
                <w:sz w:val="18"/>
                <w:szCs w:val="18"/>
              </w:rPr>
              <w:t>εκ των οποίων μεταβιβάσεις</w:t>
            </w:r>
          </w:p>
        </w:tc>
        <w:tc>
          <w:tcPr>
            <w:tcW w:w="2075" w:type="dxa"/>
            <w:tcBorders>
              <w:top w:val="nil"/>
              <w:left w:val="nil"/>
              <w:bottom w:val="nil"/>
              <w:right w:val="nil"/>
            </w:tcBorders>
            <w:shd w:val="clear" w:color="auto" w:fill="auto"/>
            <w:noWrap/>
            <w:vAlign w:val="center"/>
          </w:tcPr>
          <w:p w14:paraId="4940B1C5"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9.226</w:t>
            </w:r>
          </w:p>
        </w:tc>
        <w:tc>
          <w:tcPr>
            <w:tcW w:w="1102" w:type="dxa"/>
            <w:tcBorders>
              <w:top w:val="nil"/>
              <w:left w:val="nil"/>
              <w:bottom w:val="nil"/>
              <w:right w:val="nil"/>
            </w:tcBorders>
            <w:shd w:val="clear" w:color="auto" w:fill="auto"/>
            <w:noWrap/>
            <w:vAlign w:val="center"/>
          </w:tcPr>
          <w:p w14:paraId="51F0BC5D"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12.903</w:t>
            </w:r>
          </w:p>
        </w:tc>
        <w:tc>
          <w:tcPr>
            <w:tcW w:w="1502" w:type="dxa"/>
            <w:tcBorders>
              <w:top w:val="nil"/>
              <w:left w:val="nil"/>
              <w:bottom w:val="nil"/>
              <w:right w:val="nil"/>
            </w:tcBorders>
            <w:shd w:val="clear" w:color="auto" w:fill="auto"/>
            <w:noWrap/>
            <w:vAlign w:val="center"/>
          </w:tcPr>
          <w:p w14:paraId="1B7727E9"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3.678</w:t>
            </w:r>
          </w:p>
        </w:tc>
      </w:tr>
      <w:tr w:rsidR="00F63EF9" w:rsidRPr="00A57564" w14:paraId="27ED4A8F" w14:textId="77777777" w:rsidTr="00A57564">
        <w:trPr>
          <w:trHeight w:val="244"/>
          <w:jc w:val="center"/>
        </w:trPr>
        <w:tc>
          <w:tcPr>
            <w:tcW w:w="3550" w:type="dxa"/>
            <w:noWrap/>
            <w:vAlign w:val="center"/>
            <w:hideMark/>
          </w:tcPr>
          <w:p w14:paraId="2EC894D2"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Δαπάνες</w:t>
            </w:r>
          </w:p>
        </w:tc>
        <w:tc>
          <w:tcPr>
            <w:tcW w:w="2075" w:type="dxa"/>
            <w:tcBorders>
              <w:top w:val="nil"/>
              <w:left w:val="nil"/>
              <w:bottom w:val="nil"/>
              <w:right w:val="nil"/>
            </w:tcBorders>
            <w:shd w:val="clear" w:color="auto" w:fill="auto"/>
            <w:noWrap/>
            <w:vAlign w:val="center"/>
          </w:tcPr>
          <w:p w14:paraId="60021933"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11.528</w:t>
            </w:r>
          </w:p>
        </w:tc>
        <w:tc>
          <w:tcPr>
            <w:tcW w:w="1102" w:type="dxa"/>
            <w:tcBorders>
              <w:top w:val="nil"/>
              <w:left w:val="nil"/>
              <w:bottom w:val="nil"/>
              <w:right w:val="nil"/>
            </w:tcBorders>
            <w:shd w:val="clear" w:color="auto" w:fill="auto"/>
            <w:noWrap/>
            <w:vAlign w:val="center"/>
          </w:tcPr>
          <w:p w14:paraId="4B8D9C5B"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12.331</w:t>
            </w:r>
          </w:p>
        </w:tc>
        <w:tc>
          <w:tcPr>
            <w:tcW w:w="1502" w:type="dxa"/>
            <w:tcBorders>
              <w:top w:val="nil"/>
              <w:left w:val="nil"/>
              <w:bottom w:val="nil"/>
              <w:right w:val="nil"/>
            </w:tcBorders>
            <w:shd w:val="clear" w:color="auto" w:fill="auto"/>
            <w:noWrap/>
            <w:vAlign w:val="center"/>
          </w:tcPr>
          <w:p w14:paraId="12B43F4E"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803</w:t>
            </w:r>
          </w:p>
        </w:tc>
      </w:tr>
      <w:tr w:rsidR="00F63EF9" w:rsidRPr="00A57564" w14:paraId="296054E4" w14:textId="77777777" w:rsidTr="0096217C">
        <w:trPr>
          <w:trHeight w:val="245"/>
          <w:jc w:val="center"/>
        </w:trPr>
        <w:tc>
          <w:tcPr>
            <w:tcW w:w="3550" w:type="dxa"/>
            <w:noWrap/>
            <w:vAlign w:val="center"/>
            <w:hideMark/>
          </w:tcPr>
          <w:p w14:paraId="555224C4" w14:textId="77777777" w:rsidR="00F63EF9" w:rsidRPr="00A57564" w:rsidRDefault="00F63EF9" w:rsidP="001A034F">
            <w:pPr>
              <w:rPr>
                <w:rFonts w:ascii="Calibri" w:eastAsia="Calibri" w:hAnsi="Calibri" w:cs="Calibri"/>
                <w:bCs/>
                <w:i/>
                <w:color w:val="595959"/>
                <w:sz w:val="18"/>
                <w:szCs w:val="18"/>
              </w:rPr>
            </w:pPr>
            <w:r w:rsidRPr="00A57564">
              <w:rPr>
                <w:rFonts w:ascii="Calibri" w:eastAsia="Calibri" w:hAnsi="Calibri" w:cs="Calibri"/>
                <w:bCs/>
                <w:i/>
                <w:color w:val="595959"/>
                <w:sz w:val="18"/>
                <w:szCs w:val="18"/>
              </w:rPr>
              <w:t>εκ των οποίων τόκοι</w:t>
            </w:r>
          </w:p>
        </w:tc>
        <w:tc>
          <w:tcPr>
            <w:tcW w:w="2075" w:type="dxa"/>
            <w:tcBorders>
              <w:top w:val="nil"/>
              <w:left w:val="nil"/>
              <w:right w:val="nil"/>
            </w:tcBorders>
            <w:shd w:val="clear" w:color="auto" w:fill="auto"/>
            <w:noWrap/>
            <w:vAlign w:val="center"/>
          </w:tcPr>
          <w:p w14:paraId="4B5964B8"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275</w:t>
            </w:r>
          </w:p>
        </w:tc>
        <w:tc>
          <w:tcPr>
            <w:tcW w:w="1102" w:type="dxa"/>
            <w:tcBorders>
              <w:top w:val="nil"/>
              <w:left w:val="nil"/>
              <w:right w:val="nil"/>
            </w:tcBorders>
            <w:shd w:val="clear" w:color="auto" w:fill="auto"/>
            <w:noWrap/>
            <w:vAlign w:val="center"/>
          </w:tcPr>
          <w:p w14:paraId="3F79C7CD"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245</w:t>
            </w:r>
          </w:p>
        </w:tc>
        <w:tc>
          <w:tcPr>
            <w:tcW w:w="1502" w:type="dxa"/>
            <w:tcBorders>
              <w:top w:val="nil"/>
              <w:left w:val="nil"/>
              <w:right w:val="nil"/>
            </w:tcBorders>
            <w:shd w:val="clear" w:color="auto" w:fill="auto"/>
            <w:noWrap/>
            <w:vAlign w:val="center"/>
          </w:tcPr>
          <w:p w14:paraId="3DF2DEF6"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-30</w:t>
            </w:r>
          </w:p>
        </w:tc>
      </w:tr>
      <w:tr w:rsidR="00F63EF9" w:rsidRPr="00A57564" w14:paraId="3740FC3D" w14:textId="77777777" w:rsidTr="0096217C">
        <w:trPr>
          <w:trHeight w:val="395"/>
          <w:jc w:val="center"/>
        </w:trPr>
        <w:tc>
          <w:tcPr>
            <w:tcW w:w="3550" w:type="dxa"/>
            <w:tcBorders>
              <w:bottom w:val="single" w:sz="4" w:space="0" w:color="auto"/>
            </w:tcBorders>
            <w:vAlign w:val="center"/>
            <w:hideMark/>
          </w:tcPr>
          <w:p w14:paraId="6FA57A47"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Πρωτογενές Αποτέλεσμα Νομικών προσώπων</w:t>
            </w:r>
          </w:p>
        </w:tc>
        <w:tc>
          <w:tcPr>
            <w:tcW w:w="2075" w:type="dxa"/>
            <w:tcBorders>
              <w:top w:val="nil"/>
              <w:left w:val="nil"/>
              <w:bottom w:val="single" w:sz="4" w:space="0" w:color="auto"/>
              <w:right w:val="nil"/>
            </w:tcBorders>
            <w:shd w:val="clear" w:color="auto" w:fill="auto"/>
            <w:noWrap/>
            <w:vAlign w:val="center"/>
          </w:tcPr>
          <w:p w14:paraId="3A50F2A0"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3.312</w:t>
            </w:r>
          </w:p>
        </w:tc>
        <w:tc>
          <w:tcPr>
            <w:tcW w:w="1102" w:type="dxa"/>
            <w:tcBorders>
              <w:top w:val="nil"/>
              <w:left w:val="nil"/>
              <w:bottom w:val="single" w:sz="4" w:space="0" w:color="auto"/>
              <w:right w:val="nil"/>
            </w:tcBorders>
            <w:shd w:val="clear" w:color="auto" w:fill="auto"/>
            <w:noWrap/>
            <w:vAlign w:val="center"/>
          </w:tcPr>
          <w:p w14:paraId="4E78AF47"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5.620</w:t>
            </w:r>
          </w:p>
        </w:tc>
        <w:tc>
          <w:tcPr>
            <w:tcW w:w="1502" w:type="dxa"/>
            <w:tcBorders>
              <w:top w:val="nil"/>
              <w:left w:val="nil"/>
              <w:bottom w:val="single" w:sz="4" w:space="0" w:color="auto"/>
              <w:right w:val="nil"/>
            </w:tcBorders>
            <w:shd w:val="clear" w:color="auto" w:fill="auto"/>
            <w:noWrap/>
            <w:vAlign w:val="center"/>
          </w:tcPr>
          <w:p w14:paraId="06E917C1"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2.308</w:t>
            </w:r>
          </w:p>
        </w:tc>
      </w:tr>
      <w:tr w:rsidR="00F63EF9" w:rsidRPr="00A57564" w14:paraId="1490E208" w14:textId="77777777" w:rsidTr="0096217C">
        <w:trPr>
          <w:trHeight w:val="184"/>
          <w:jc w:val="center"/>
        </w:trPr>
        <w:tc>
          <w:tcPr>
            <w:tcW w:w="8230" w:type="dxa"/>
            <w:gridSpan w:val="4"/>
            <w:tcBorders>
              <w:top w:val="single" w:sz="4" w:space="0" w:color="auto"/>
            </w:tcBorders>
            <w:noWrap/>
            <w:vAlign w:val="center"/>
            <w:hideMark/>
          </w:tcPr>
          <w:p w14:paraId="531981AE" w14:textId="77777777" w:rsidR="00F63EF9" w:rsidRPr="00A57564" w:rsidRDefault="00F63EF9" w:rsidP="001A034F">
            <w:pPr>
              <w:jc w:val="center"/>
              <w:rPr>
                <w:rFonts w:ascii="Calibri" w:eastAsia="Calibri" w:hAnsi="Calibri" w:cs="Calibri"/>
                <w:b/>
                <w:bCs/>
                <w:color w:val="595959"/>
                <w:sz w:val="18"/>
                <w:szCs w:val="18"/>
              </w:rPr>
            </w:pPr>
            <w:r w:rsidRPr="00A57564">
              <w:rPr>
                <w:rFonts w:ascii="Calibri" w:eastAsia="Calibri" w:hAnsi="Calibri" w:cs="Calibri"/>
                <w:b/>
                <w:bCs/>
                <w:color w:val="595959"/>
                <w:sz w:val="18"/>
                <w:szCs w:val="18"/>
              </w:rPr>
              <w:t>Οργανισμοί Τοπικής Αυτοδιοίκησης (ΟΤΑ)</w:t>
            </w:r>
          </w:p>
        </w:tc>
      </w:tr>
      <w:tr w:rsidR="00F63EF9" w:rsidRPr="00A57564" w14:paraId="5D723119" w14:textId="77777777" w:rsidTr="00A57564">
        <w:trPr>
          <w:trHeight w:val="235"/>
          <w:jc w:val="center"/>
        </w:trPr>
        <w:tc>
          <w:tcPr>
            <w:tcW w:w="3550" w:type="dxa"/>
            <w:noWrap/>
            <w:vAlign w:val="center"/>
            <w:hideMark/>
          </w:tcPr>
          <w:p w14:paraId="153BFD03"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Έσοδα</w:t>
            </w:r>
          </w:p>
        </w:tc>
        <w:tc>
          <w:tcPr>
            <w:tcW w:w="2075" w:type="dxa"/>
            <w:tcBorders>
              <w:top w:val="nil"/>
              <w:left w:val="nil"/>
              <w:bottom w:val="nil"/>
              <w:right w:val="nil"/>
            </w:tcBorders>
            <w:shd w:val="clear" w:color="auto" w:fill="auto"/>
            <w:noWrap/>
            <w:vAlign w:val="center"/>
          </w:tcPr>
          <w:p w14:paraId="3966271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6.230</w:t>
            </w:r>
          </w:p>
        </w:tc>
        <w:tc>
          <w:tcPr>
            <w:tcW w:w="1102" w:type="dxa"/>
            <w:tcBorders>
              <w:top w:val="nil"/>
              <w:left w:val="nil"/>
              <w:bottom w:val="nil"/>
              <w:right w:val="nil"/>
            </w:tcBorders>
            <w:shd w:val="clear" w:color="auto" w:fill="auto"/>
            <w:noWrap/>
            <w:vAlign w:val="center"/>
          </w:tcPr>
          <w:p w14:paraId="1EF696BE"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6.795</w:t>
            </w:r>
          </w:p>
        </w:tc>
        <w:tc>
          <w:tcPr>
            <w:tcW w:w="1502" w:type="dxa"/>
            <w:tcBorders>
              <w:top w:val="nil"/>
              <w:left w:val="nil"/>
              <w:bottom w:val="nil"/>
              <w:right w:val="nil"/>
            </w:tcBorders>
            <w:shd w:val="clear" w:color="auto" w:fill="auto"/>
            <w:noWrap/>
            <w:vAlign w:val="center"/>
          </w:tcPr>
          <w:p w14:paraId="7501B463"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565</w:t>
            </w:r>
          </w:p>
        </w:tc>
      </w:tr>
      <w:tr w:rsidR="00F63EF9" w:rsidRPr="00A57564" w14:paraId="0DB2AE06" w14:textId="77777777" w:rsidTr="00A57564">
        <w:trPr>
          <w:trHeight w:val="235"/>
          <w:jc w:val="center"/>
        </w:trPr>
        <w:tc>
          <w:tcPr>
            <w:tcW w:w="3550" w:type="dxa"/>
            <w:noWrap/>
            <w:vAlign w:val="center"/>
          </w:tcPr>
          <w:p w14:paraId="00D28518" w14:textId="77777777" w:rsidR="00F63EF9" w:rsidRPr="00A57564" w:rsidRDefault="00F63EF9" w:rsidP="001A034F">
            <w:pPr>
              <w:rPr>
                <w:rFonts w:ascii="Calibri" w:eastAsia="Calibri" w:hAnsi="Calibri" w:cs="Calibri"/>
                <w:bCs/>
                <w:i/>
                <w:color w:val="595959"/>
                <w:sz w:val="18"/>
                <w:szCs w:val="18"/>
              </w:rPr>
            </w:pPr>
            <w:r w:rsidRPr="00A57564">
              <w:rPr>
                <w:rFonts w:ascii="Calibri" w:eastAsia="Calibri" w:hAnsi="Calibri" w:cs="Times New Roman"/>
                <w:bCs/>
                <w:i/>
                <w:color w:val="595959"/>
                <w:sz w:val="18"/>
                <w:szCs w:val="18"/>
              </w:rPr>
              <w:t>εκ των οποίων μεταβιβάσεις</w:t>
            </w:r>
          </w:p>
        </w:tc>
        <w:tc>
          <w:tcPr>
            <w:tcW w:w="2075" w:type="dxa"/>
            <w:tcBorders>
              <w:top w:val="nil"/>
              <w:left w:val="nil"/>
              <w:bottom w:val="nil"/>
              <w:right w:val="nil"/>
            </w:tcBorders>
            <w:shd w:val="clear" w:color="auto" w:fill="auto"/>
            <w:noWrap/>
            <w:vAlign w:val="center"/>
          </w:tcPr>
          <w:p w14:paraId="2748AA9C"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3.645</w:t>
            </w:r>
          </w:p>
        </w:tc>
        <w:tc>
          <w:tcPr>
            <w:tcW w:w="1102" w:type="dxa"/>
            <w:tcBorders>
              <w:top w:val="nil"/>
              <w:left w:val="nil"/>
              <w:bottom w:val="nil"/>
              <w:right w:val="nil"/>
            </w:tcBorders>
            <w:shd w:val="clear" w:color="auto" w:fill="auto"/>
            <w:noWrap/>
            <w:vAlign w:val="center"/>
          </w:tcPr>
          <w:p w14:paraId="29C5E1B0"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4.313</w:t>
            </w:r>
          </w:p>
        </w:tc>
        <w:tc>
          <w:tcPr>
            <w:tcW w:w="1502" w:type="dxa"/>
            <w:tcBorders>
              <w:top w:val="nil"/>
              <w:left w:val="nil"/>
              <w:bottom w:val="nil"/>
              <w:right w:val="nil"/>
            </w:tcBorders>
            <w:shd w:val="clear" w:color="auto" w:fill="auto"/>
            <w:noWrap/>
            <w:vAlign w:val="center"/>
          </w:tcPr>
          <w:p w14:paraId="276FF910"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668</w:t>
            </w:r>
          </w:p>
        </w:tc>
      </w:tr>
      <w:tr w:rsidR="00F63EF9" w:rsidRPr="00A57564" w14:paraId="71A12653" w14:textId="77777777" w:rsidTr="00A57564">
        <w:trPr>
          <w:trHeight w:val="235"/>
          <w:jc w:val="center"/>
        </w:trPr>
        <w:tc>
          <w:tcPr>
            <w:tcW w:w="3550" w:type="dxa"/>
            <w:noWrap/>
            <w:vAlign w:val="center"/>
            <w:hideMark/>
          </w:tcPr>
          <w:p w14:paraId="1ACAD7CA"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Δαπάνες</w:t>
            </w:r>
          </w:p>
        </w:tc>
        <w:tc>
          <w:tcPr>
            <w:tcW w:w="2075" w:type="dxa"/>
            <w:tcBorders>
              <w:top w:val="nil"/>
              <w:left w:val="nil"/>
              <w:bottom w:val="nil"/>
              <w:right w:val="nil"/>
            </w:tcBorders>
            <w:shd w:val="clear" w:color="auto" w:fill="auto"/>
            <w:noWrap/>
            <w:vAlign w:val="center"/>
          </w:tcPr>
          <w:p w14:paraId="72C513AB"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6.198</w:t>
            </w:r>
          </w:p>
        </w:tc>
        <w:tc>
          <w:tcPr>
            <w:tcW w:w="1102" w:type="dxa"/>
            <w:tcBorders>
              <w:top w:val="nil"/>
              <w:left w:val="nil"/>
              <w:bottom w:val="nil"/>
              <w:right w:val="nil"/>
            </w:tcBorders>
            <w:shd w:val="clear" w:color="auto" w:fill="auto"/>
            <w:noWrap/>
            <w:vAlign w:val="center"/>
          </w:tcPr>
          <w:p w14:paraId="0D9080EC"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6.751</w:t>
            </w:r>
          </w:p>
        </w:tc>
        <w:tc>
          <w:tcPr>
            <w:tcW w:w="1502" w:type="dxa"/>
            <w:tcBorders>
              <w:top w:val="nil"/>
              <w:left w:val="nil"/>
              <w:bottom w:val="nil"/>
              <w:right w:val="nil"/>
            </w:tcBorders>
            <w:shd w:val="clear" w:color="auto" w:fill="auto"/>
            <w:noWrap/>
            <w:vAlign w:val="center"/>
          </w:tcPr>
          <w:p w14:paraId="7BAE87EA"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553</w:t>
            </w:r>
          </w:p>
        </w:tc>
      </w:tr>
      <w:tr w:rsidR="00F63EF9" w:rsidRPr="00A57564" w14:paraId="016A0250" w14:textId="77777777" w:rsidTr="0096217C">
        <w:trPr>
          <w:trHeight w:val="245"/>
          <w:jc w:val="center"/>
        </w:trPr>
        <w:tc>
          <w:tcPr>
            <w:tcW w:w="3550" w:type="dxa"/>
            <w:noWrap/>
            <w:vAlign w:val="center"/>
            <w:hideMark/>
          </w:tcPr>
          <w:p w14:paraId="4E4823FB"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εκ των οποίων τόκοι</w:t>
            </w:r>
          </w:p>
        </w:tc>
        <w:tc>
          <w:tcPr>
            <w:tcW w:w="2075" w:type="dxa"/>
            <w:tcBorders>
              <w:top w:val="nil"/>
              <w:left w:val="nil"/>
              <w:right w:val="nil"/>
            </w:tcBorders>
            <w:shd w:val="clear" w:color="auto" w:fill="auto"/>
            <w:noWrap/>
            <w:vAlign w:val="center"/>
          </w:tcPr>
          <w:p w14:paraId="40992854"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59</w:t>
            </w:r>
          </w:p>
        </w:tc>
        <w:tc>
          <w:tcPr>
            <w:tcW w:w="1102" w:type="dxa"/>
            <w:tcBorders>
              <w:top w:val="nil"/>
              <w:left w:val="nil"/>
              <w:right w:val="nil"/>
            </w:tcBorders>
            <w:shd w:val="clear" w:color="auto" w:fill="auto"/>
            <w:noWrap/>
            <w:vAlign w:val="center"/>
          </w:tcPr>
          <w:p w14:paraId="4EACF7AE"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39</w:t>
            </w:r>
          </w:p>
        </w:tc>
        <w:tc>
          <w:tcPr>
            <w:tcW w:w="1502" w:type="dxa"/>
            <w:tcBorders>
              <w:top w:val="nil"/>
              <w:left w:val="nil"/>
              <w:right w:val="nil"/>
            </w:tcBorders>
            <w:shd w:val="clear" w:color="auto" w:fill="auto"/>
            <w:noWrap/>
            <w:vAlign w:val="center"/>
          </w:tcPr>
          <w:p w14:paraId="5CA6ADE5"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-19</w:t>
            </w:r>
          </w:p>
        </w:tc>
      </w:tr>
      <w:tr w:rsidR="00F63EF9" w:rsidRPr="00A57564" w14:paraId="33D29694" w14:textId="77777777" w:rsidTr="0096217C">
        <w:trPr>
          <w:trHeight w:val="225"/>
          <w:jc w:val="center"/>
        </w:trPr>
        <w:tc>
          <w:tcPr>
            <w:tcW w:w="3550" w:type="dxa"/>
            <w:tcBorders>
              <w:bottom w:val="single" w:sz="4" w:space="0" w:color="auto"/>
            </w:tcBorders>
            <w:vAlign w:val="center"/>
            <w:hideMark/>
          </w:tcPr>
          <w:p w14:paraId="5AE75B8D"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Πρωτογενές Αποτέλεσμα ΟΤΑ</w:t>
            </w:r>
          </w:p>
        </w:tc>
        <w:tc>
          <w:tcPr>
            <w:tcW w:w="2075" w:type="dxa"/>
            <w:tcBorders>
              <w:top w:val="nil"/>
              <w:left w:val="nil"/>
              <w:bottom w:val="single" w:sz="4" w:space="0" w:color="auto"/>
              <w:right w:val="nil"/>
            </w:tcBorders>
            <w:shd w:val="clear" w:color="auto" w:fill="auto"/>
            <w:noWrap/>
            <w:vAlign w:val="center"/>
          </w:tcPr>
          <w:p w14:paraId="78B01BAB"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91</w:t>
            </w:r>
          </w:p>
        </w:tc>
        <w:tc>
          <w:tcPr>
            <w:tcW w:w="1102" w:type="dxa"/>
            <w:tcBorders>
              <w:top w:val="nil"/>
              <w:left w:val="nil"/>
              <w:bottom w:val="single" w:sz="4" w:space="0" w:color="auto"/>
              <w:right w:val="nil"/>
            </w:tcBorders>
            <w:shd w:val="clear" w:color="auto" w:fill="auto"/>
            <w:noWrap/>
            <w:vAlign w:val="center"/>
          </w:tcPr>
          <w:p w14:paraId="1722668F"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84</w:t>
            </w:r>
          </w:p>
        </w:tc>
        <w:tc>
          <w:tcPr>
            <w:tcW w:w="1502" w:type="dxa"/>
            <w:tcBorders>
              <w:top w:val="nil"/>
              <w:left w:val="nil"/>
              <w:bottom w:val="single" w:sz="4" w:space="0" w:color="auto"/>
              <w:right w:val="nil"/>
            </w:tcBorders>
            <w:shd w:val="clear" w:color="auto" w:fill="auto"/>
            <w:noWrap/>
            <w:vAlign w:val="center"/>
          </w:tcPr>
          <w:p w14:paraId="1DC5441C"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-7</w:t>
            </w:r>
          </w:p>
        </w:tc>
      </w:tr>
      <w:tr w:rsidR="00F63EF9" w:rsidRPr="00A57564" w14:paraId="3931C8B1" w14:textId="77777777" w:rsidTr="0096217C">
        <w:trPr>
          <w:trHeight w:val="217"/>
          <w:jc w:val="center"/>
        </w:trPr>
        <w:tc>
          <w:tcPr>
            <w:tcW w:w="8230" w:type="dxa"/>
            <w:gridSpan w:val="4"/>
            <w:tcBorders>
              <w:top w:val="single" w:sz="4" w:space="0" w:color="auto"/>
            </w:tcBorders>
            <w:noWrap/>
            <w:vAlign w:val="center"/>
            <w:hideMark/>
          </w:tcPr>
          <w:p w14:paraId="30E76C48" w14:textId="77777777" w:rsidR="00F63EF9" w:rsidRPr="00A57564" w:rsidRDefault="00F63EF9" w:rsidP="001A034F">
            <w:pPr>
              <w:jc w:val="center"/>
              <w:rPr>
                <w:rFonts w:ascii="Calibri" w:eastAsia="Calibri" w:hAnsi="Calibri" w:cs="Calibri"/>
                <w:b/>
                <w:bCs/>
                <w:color w:val="595959"/>
                <w:sz w:val="18"/>
                <w:szCs w:val="18"/>
              </w:rPr>
            </w:pPr>
            <w:r w:rsidRPr="00A57564">
              <w:rPr>
                <w:rFonts w:ascii="Calibri" w:eastAsia="Calibri" w:hAnsi="Calibri" w:cs="Calibri"/>
                <w:b/>
                <w:bCs/>
                <w:color w:val="595959"/>
                <w:sz w:val="18"/>
                <w:szCs w:val="18"/>
              </w:rPr>
              <w:t>Οργανισμοί Κοινωνικής Ασφάλισης (Ο</w:t>
            </w:r>
            <w:r w:rsidRPr="00A57564">
              <w:rPr>
                <w:rFonts w:ascii="Calibri" w:eastAsia="Calibri" w:hAnsi="Calibri" w:cs="Calibri"/>
                <w:b/>
                <w:bCs/>
                <w:color w:val="595959"/>
                <w:sz w:val="18"/>
                <w:szCs w:val="18"/>
                <w:lang w:val="en-US"/>
              </w:rPr>
              <w:t>KA</w:t>
            </w:r>
            <w:r w:rsidRPr="00A57564">
              <w:rPr>
                <w:rFonts w:ascii="Calibri" w:eastAsia="Calibri" w:hAnsi="Calibri" w:cs="Calibri"/>
                <w:b/>
                <w:bCs/>
                <w:color w:val="595959"/>
                <w:sz w:val="18"/>
                <w:szCs w:val="18"/>
              </w:rPr>
              <w:t>)</w:t>
            </w:r>
          </w:p>
        </w:tc>
      </w:tr>
      <w:tr w:rsidR="00F63EF9" w:rsidRPr="00A57564" w14:paraId="7B1E502C" w14:textId="77777777" w:rsidTr="00A57564">
        <w:trPr>
          <w:trHeight w:val="235"/>
          <w:jc w:val="center"/>
        </w:trPr>
        <w:tc>
          <w:tcPr>
            <w:tcW w:w="3550" w:type="dxa"/>
            <w:noWrap/>
            <w:vAlign w:val="center"/>
            <w:hideMark/>
          </w:tcPr>
          <w:p w14:paraId="45ED1387"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Έσοδα</w:t>
            </w:r>
          </w:p>
        </w:tc>
        <w:tc>
          <w:tcPr>
            <w:tcW w:w="2075" w:type="dxa"/>
            <w:tcBorders>
              <w:top w:val="nil"/>
              <w:left w:val="nil"/>
              <w:bottom w:val="nil"/>
              <w:right w:val="nil"/>
            </w:tcBorders>
            <w:shd w:val="clear" w:color="auto" w:fill="auto"/>
            <w:noWrap/>
            <w:vAlign w:val="center"/>
          </w:tcPr>
          <w:p w14:paraId="33130B1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42.512</w:t>
            </w:r>
          </w:p>
        </w:tc>
        <w:tc>
          <w:tcPr>
            <w:tcW w:w="1102" w:type="dxa"/>
            <w:tcBorders>
              <w:top w:val="nil"/>
              <w:left w:val="nil"/>
              <w:bottom w:val="nil"/>
              <w:right w:val="nil"/>
            </w:tcBorders>
            <w:shd w:val="clear" w:color="auto" w:fill="auto"/>
            <w:noWrap/>
            <w:vAlign w:val="center"/>
          </w:tcPr>
          <w:p w14:paraId="7C9D648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43.401</w:t>
            </w:r>
          </w:p>
        </w:tc>
        <w:tc>
          <w:tcPr>
            <w:tcW w:w="1502" w:type="dxa"/>
            <w:tcBorders>
              <w:top w:val="nil"/>
              <w:left w:val="nil"/>
              <w:bottom w:val="nil"/>
              <w:right w:val="nil"/>
            </w:tcBorders>
            <w:shd w:val="clear" w:color="auto" w:fill="auto"/>
            <w:noWrap/>
            <w:vAlign w:val="center"/>
          </w:tcPr>
          <w:p w14:paraId="3D262320"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889</w:t>
            </w:r>
          </w:p>
        </w:tc>
      </w:tr>
      <w:tr w:rsidR="00F63EF9" w:rsidRPr="00A57564" w14:paraId="5956B6EC" w14:textId="77777777" w:rsidTr="00A57564">
        <w:trPr>
          <w:trHeight w:val="235"/>
          <w:jc w:val="center"/>
        </w:trPr>
        <w:tc>
          <w:tcPr>
            <w:tcW w:w="3550" w:type="dxa"/>
            <w:noWrap/>
            <w:vAlign w:val="center"/>
          </w:tcPr>
          <w:p w14:paraId="54F6A81C" w14:textId="77777777" w:rsidR="00F63EF9" w:rsidRPr="00A57564" w:rsidRDefault="00F63EF9" w:rsidP="001A034F">
            <w:pPr>
              <w:rPr>
                <w:rFonts w:ascii="Calibri" w:eastAsia="Calibri" w:hAnsi="Calibri" w:cs="Calibri"/>
                <w:bCs/>
                <w:i/>
                <w:color w:val="595959"/>
                <w:sz w:val="18"/>
                <w:szCs w:val="18"/>
              </w:rPr>
            </w:pPr>
            <w:r w:rsidRPr="00A57564">
              <w:rPr>
                <w:rFonts w:ascii="Calibri" w:eastAsia="Calibri" w:hAnsi="Calibri" w:cs="Times New Roman"/>
                <w:bCs/>
                <w:i/>
                <w:color w:val="595959"/>
                <w:sz w:val="18"/>
                <w:szCs w:val="18"/>
              </w:rPr>
              <w:t>εκ των οποίων μεταβιβάσεις</w:t>
            </w:r>
          </w:p>
        </w:tc>
        <w:tc>
          <w:tcPr>
            <w:tcW w:w="2075" w:type="dxa"/>
            <w:tcBorders>
              <w:top w:val="nil"/>
              <w:left w:val="nil"/>
              <w:bottom w:val="nil"/>
              <w:right w:val="nil"/>
            </w:tcBorders>
            <w:shd w:val="clear" w:color="auto" w:fill="auto"/>
            <w:noWrap/>
            <w:vAlign w:val="center"/>
          </w:tcPr>
          <w:p w14:paraId="159C2B64"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19.600</w:t>
            </w:r>
          </w:p>
        </w:tc>
        <w:tc>
          <w:tcPr>
            <w:tcW w:w="1102" w:type="dxa"/>
            <w:tcBorders>
              <w:top w:val="nil"/>
              <w:left w:val="nil"/>
              <w:bottom w:val="nil"/>
              <w:right w:val="nil"/>
            </w:tcBorders>
            <w:shd w:val="clear" w:color="auto" w:fill="auto"/>
            <w:noWrap/>
            <w:vAlign w:val="center"/>
          </w:tcPr>
          <w:p w14:paraId="2339606A"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20.925</w:t>
            </w:r>
          </w:p>
        </w:tc>
        <w:tc>
          <w:tcPr>
            <w:tcW w:w="1502" w:type="dxa"/>
            <w:tcBorders>
              <w:top w:val="nil"/>
              <w:left w:val="nil"/>
              <w:bottom w:val="nil"/>
              <w:right w:val="nil"/>
            </w:tcBorders>
            <w:shd w:val="clear" w:color="auto" w:fill="auto"/>
            <w:noWrap/>
            <w:vAlign w:val="center"/>
          </w:tcPr>
          <w:p w14:paraId="6B34881D"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1.326</w:t>
            </w:r>
          </w:p>
        </w:tc>
      </w:tr>
      <w:tr w:rsidR="00F63EF9" w:rsidRPr="00A57564" w14:paraId="15E5C705" w14:textId="77777777" w:rsidTr="00A57564">
        <w:trPr>
          <w:trHeight w:val="235"/>
          <w:jc w:val="center"/>
        </w:trPr>
        <w:tc>
          <w:tcPr>
            <w:tcW w:w="3550" w:type="dxa"/>
            <w:noWrap/>
            <w:vAlign w:val="center"/>
            <w:hideMark/>
          </w:tcPr>
          <w:p w14:paraId="6EB45545"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Δαπάνες</w:t>
            </w:r>
          </w:p>
        </w:tc>
        <w:tc>
          <w:tcPr>
            <w:tcW w:w="2075" w:type="dxa"/>
            <w:tcBorders>
              <w:top w:val="nil"/>
              <w:left w:val="nil"/>
              <w:bottom w:val="nil"/>
              <w:right w:val="nil"/>
            </w:tcBorders>
            <w:shd w:val="clear" w:color="auto" w:fill="auto"/>
            <w:noWrap/>
            <w:vAlign w:val="center"/>
          </w:tcPr>
          <w:p w14:paraId="17383A9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41.038</w:t>
            </w:r>
          </w:p>
        </w:tc>
        <w:tc>
          <w:tcPr>
            <w:tcW w:w="1102" w:type="dxa"/>
            <w:tcBorders>
              <w:top w:val="nil"/>
              <w:left w:val="nil"/>
              <w:bottom w:val="nil"/>
              <w:right w:val="nil"/>
            </w:tcBorders>
            <w:shd w:val="clear" w:color="auto" w:fill="auto"/>
            <w:noWrap/>
            <w:vAlign w:val="center"/>
          </w:tcPr>
          <w:p w14:paraId="632C9CE1"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42.558</w:t>
            </w:r>
          </w:p>
        </w:tc>
        <w:tc>
          <w:tcPr>
            <w:tcW w:w="1502" w:type="dxa"/>
            <w:tcBorders>
              <w:top w:val="nil"/>
              <w:left w:val="nil"/>
              <w:bottom w:val="nil"/>
              <w:right w:val="nil"/>
            </w:tcBorders>
            <w:shd w:val="clear" w:color="auto" w:fill="auto"/>
            <w:noWrap/>
            <w:vAlign w:val="center"/>
          </w:tcPr>
          <w:p w14:paraId="418B3E67"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1.520</w:t>
            </w:r>
          </w:p>
        </w:tc>
      </w:tr>
      <w:tr w:rsidR="00F63EF9" w:rsidRPr="00A57564" w14:paraId="6C3C8D65" w14:textId="77777777" w:rsidTr="0096217C">
        <w:trPr>
          <w:trHeight w:val="245"/>
          <w:jc w:val="center"/>
        </w:trPr>
        <w:tc>
          <w:tcPr>
            <w:tcW w:w="3550" w:type="dxa"/>
            <w:noWrap/>
            <w:vAlign w:val="center"/>
            <w:hideMark/>
          </w:tcPr>
          <w:p w14:paraId="2B10B6E0" w14:textId="77777777" w:rsidR="00F63EF9" w:rsidRPr="00A57564" w:rsidRDefault="00F63EF9" w:rsidP="001A034F">
            <w:pPr>
              <w:rPr>
                <w:rFonts w:ascii="Calibri" w:eastAsia="Calibri" w:hAnsi="Calibri" w:cs="Calibri"/>
                <w:bCs/>
                <w:i/>
                <w:color w:val="595959"/>
                <w:sz w:val="18"/>
                <w:szCs w:val="18"/>
              </w:rPr>
            </w:pPr>
            <w:r w:rsidRPr="00A57564">
              <w:rPr>
                <w:rFonts w:ascii="Calibri" w:eastAsia="Calibri" w:hAnsi="Calibri" w:cs="Calibri"/>
                <w:bCs/>
                <w:i/>
                <w:color w:val="595959"/>
                <w:sz w:val="18"/>
                <w:szCs w:val="18"/>
              </w:rPr>
              <w:t>εκ των οποίων τόκοι</w:t>
            </w:r>
          </w:p>
        </w:tc>
        <w:tc>
          <w:tcPr>
            <w:tcW w:w="2075" w:type="dxa"/>
            <w:tcBorders>
              <w:top w:val="nil"/>
              <w:left w:val="nil"/>
              <w:right w:val="nil"/>
            </w:tcBorders>
            <w:shd w:val="clear" w:color="auto" w:fill="auto"/>
            <w:noWrap/>
            <w:vAlign w:val="center"/>
          </w:tcPr>
          <w:p w14:paraId="3B4481B9"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3</w:t>
            </w:r>
          </w:p>
        </w:tc>
        <w:tc>
          <w:tcPr>
            <w:tcW w:w="1102" w:type="dxa"/>
            <w:tcBorders>
              <w:top w:val="nil"/>
              <w:left w:val="nil"/>
              <w:right w:val="nil"/>
            </w:tcBorders>
            <w:shd w:val="clear" w:color="auto" w:fill="auto"/>
            <w:noWrap/>
            <w:vAlign w:val="center"/>
          </w:tcPr>
          <w:p w14:paraId="4E316196"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5</w:t>
            </w:r>
          </w:p>
        </w:tc>
        <w:tc>
          <w:tcPr>
            <w:tcW w:w="1502" w:type="dxa"/>
            <w:tcBorders>
              <w:top w:val="nil"/>
              <w:left w:val="nil"/>
              <w:right w:val="nil"/>
            </w:tcBorders>
            <w:shd w:val="clear" w:color="auto" w:fill="auto"/>
            <w:noWrap/>
            <w:vAlign w:val="center"/>
          </w:tcPr>
          <w:p w14:paraId="577986FD" w14:textId="77777777" w:rsidR="00F63EF9" w:rsidRPr="00A57564" w:rsidRDefault="00F63EF9" w:rsidP="001A034F">
            <w:pPr>
              <w:jc w:val="center"/>
              <w:rPr>
                <w:rFonts w:ascii="Calibri" w:hAnsi="Calibri" w:cs="Calibri"/>
                <w:i/>
                <w:iCs/>
                <w:color w:val="595959"/>
                <w:sz w:val="18"/>
                <w:szCs w:val="18"/>
              </w:rPr>
            </w:pPr>
            <w:r w:rsidRPr="00A57564">
              <w:rPr>
                <w:rFonts w:ascii="Calibri" w:hAnsi="Calibri" w:cs="Calibri"/>
                <w:i/>
                <w:iCs/>
                <w:color w:val="595959"/>
                <w:sz w:val="18"/>
                <w:szCs w:val="18"/>
              </w:rPr>
              <w:t>2</w:t>
            </w:r>
          </w:p>
        </w:tc>
      </w:tr>
      <w:tr w:rsidR="00F63EF9" w:rsidRPr="00A57564" w14:paraId="640D1B6F" w14:textId="77777777" w:rsidTr="0096217C">
        <w:trPr>
          <w:trHeight w:val="233"/>
          <w:jc w:val="center"/>
        </w:trPr>
        <w:tc>
          <w:tcPr>
            <w:tcW w:w="3550" w:type="dxa"/>
            <w:tcBorders>
              <w:bottom w:val="single" w:sz="4" w:space="0" w:color="auto"/>
            </w:tcBorders>
            <w:vAlign w:val="center"/>
            <w:hideMark/>
          </w:tcPr>
          <w:p w14:paraId="6A0954B3"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Πρωτογενές Αποτέλεσμα Ο</w:t>
            </w:r>
            <w:r w:rsidRPr="00A57564">
              <w:rPr>
                <w:rFonts w:ascii="Calibri" w:eastAsia="Calibri" w:hAnsi="Calibri" w:cs="Calibri"/>
                <w:b/>
                <w:bCs/>
                <w:color w:val="595959"/>
                <w:sz w:val="18"/>
                <w:szCs w:val="18"/>
                <w:lang w:val="en-US"/>
              </w:rPr>
              <w:t>KA</w:t>
            </w:r>
          </w:p>
        </w:tc>
        <w:tc>
          <w:tcPr>
            <w:tcW w:w="2075" w:type="dxa"/>
            <w:tcBorders>
              <w:top w:val="nil"/>
              <w:left w:val="nil"/>
              <w:bottom w:val="single" w:sz="4" w:space="0" w:color="auto"/>
              <w:right w:val="nil"/>
            </w:tcBorders>
            <w:shd w:val="clear" w:color="auto" w:fill="auto"/>
            <w:noWrap/>
            <w:vAlign w:val="center"/>
          </w:tcPr>
          <w:p w14:paraId="03033E5C"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1.477</w:t>
            </w:r>
          </w:p>
        </w:tc>
        <w:tc>
          <w:tcPr>
            <w:tcW w:w="1102" w:type="dxa"/>
            <w:tcBorders>
              <w:top w:val="nil"/>
              <w:left w:val="nil"/>
              <w:bottom w:val="single" w:sz="4" w:space="0" w:color="auto"/>
              <w:right w:val="nil"/>
            </w:tcBorders>
            <w:shd w:val="clear" w:color="auto" w:fill="auto"/>
            <w:noWrap/>
            <w:vAlign w:val="center"/>
          </w:tcPr>
          <w:p w14:paraId="2E7BEF0B"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848</w:t>
            </w:r>
          </w:p>
        </w:tc>
        <w:tc>
          <w:tcPr>
            <w:tcW w:w="1502" w:type="dxa"/>
            <w:tcBorders>
              <w:top w:val="nil"/>
              <w:left w:val="nil"/>
              <w:bottom w:val="single" w:sz="4" w:space="0" w:color="auto"/>
              <w:right w:val="nil"/>
            </w:tcBorders>
            <w:shd w:val="clear" w:color="auto" w:fill="auto"/>
            <w:noWrap/>
            <w:vAlign w:val="center"/>
          </w:tcPr>
          <w:p w14:paraId="638E4580"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-629</w:t>
            </w:r>
          </w:p>
        </w:tc>
      </w:tr>
      <w:tr w:rsidR="00F63EF9" w:rsidRPr="00A57564" w14:paraId="3A6F421F" w14:textId="77777777" w:rsidTr="0096217C">
        <w:trPr>
          <w:trHeight w:val="176"/>
          <w:jc w:val="center"/>
        </w:trPr>
        <w:tc>
          <w:tcPr>
            <w:tcW w:w="8230" w:type="dxa"/>
            <w:gridSpan w:val="4"/>
            <w:tcBorders>
              <w:top w:val="single" w:sz="4" w:space="0" w:color="auto"/>
            </w:tcBorders>
            <w:noWrap/>
            <w:vAlign w:val="center"/>
            <w:hideMark/>
          </w:tcPr>
          <w:p w14:paraId="65E26CA7" w14:textId="77777777" w:rsidR="00F63EF9" w:rsidRPr="00A57564" w:rsidRDefault="00F63EF9" w:rsidP="001A034F">
            <w:pPr>
              <w:jc w:val="center"/>
              <w:rPr>
                <w:rFonts w:ascii="Calibri" w:eastAsia="Calibri" w:hAnsi="Calibri" w:cs="Calibri"/>
                <w:b/>
                <w:bCs/>
                <w:color w:val="595959"/>
                <w:sz w:val="18"/>
                <w:szCs w:val="18"/>
              </w:rPr>
            </w:pPr>
            <w:r w:rsidRPr="00A57564">
              <w:rPr>
                <w:rFonts w:ascii="Calibri" w:eastAsia="Calibri" w:hAnsi="Calibri" w:cs="Calibri"/>
                <w:b/>
                <w:bCs/>
                <w:color w:val="595959"/>
                <w:sz w:val="18"/>
                <w:szCs w:val="18"/>
              </w:rPr>
              <w:t>Πρωτογενές Αποτέλεσμα Γενικής Κυβέρνησης</w:t>
            </w:r>
          </w:p>
        </w:tc>
      </w:tr>
      <w:tr w:rsidR="00F63EF9" w:rsidRPr="00A57564" w14:paraId="6A0C0463" w14:textId="77777777" w:rsidTr="00A57564">
        <w:trPr>
          <w:trHeight w:val="387"/>
          <w:jc w:val="center"/>
        </w:trPr>
        <w:tc>
          <w:tcPr>
            <w:tcW w:w="3550" w:type="dxa"/>
            <w:vAlign w:val="center"/>
            <w:hideMark/>
          </w:tcPr>
          <w:p w14:paraId="594877FA"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Πρωτογενές Αποτέλεσμα Γενικής Κυβέρνησης (μη ενοποιημένο)</w:t>
            </w:r>
          </w:p>
        </w:tc>
        <w:tc>
          <w:tcPr>
            <w:tcW w:w="2075" w:type="dxa"/>
            <w:tcBorders>
              <w:top w:val="nil"/>
              <w:left w:val="nil"/>
              <w:bottom w:val="nil"/>
              <w:right w:val="nil"/>
            </w:tcBorders>
            <w:shd w:val="clear" w:color="auto" w:fill="auto"/>
            <w:noWrap/>
            <w:vAlign w:val="center"/>
          </w:tcPr>
          <w:p w14:paraId="4C2F8E0E"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9.896</w:t>
            </w:r>
          </w:p>
        </w:tc>
        <w:tc>
          <w:tcPr>
            <w:tcW w:w="1102" w:type="dxa"/>
            <w:tcBorders>
              <w:top w:val="nil"/>
              <w:left w:val="nil"/>
              <w:bottom w:val="nil"/>
              <w:right w:val="nil"/>
            </w:tcBorders>
            <w:shd w:val="clear" w:color="auto" w:fill="auto"/>
            <w:noWrap/>
            <w:vAlign w:val="center"/>
          </w:tcPr>
          <w:p w14:paraId="57699FED"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-11.643</w:t>
            </w:r>
          </w:p>
        </w:tc>
        <w:tc>
          <w:tcPr>
            <w:tcW w:w="1502" w:type="dxa"/>
            <w:tcBorders>
              <w:top w:val="nil"/>
              <w:left w:val="nil"/>
              <w:bottom w:val="nil"/>
              <w:right w:val="nil"/>
            </w:tcBorders>
            <w:shd w:val="clear" w:color="auto" w:fill="auto"/>
            <w:noWrap/>
            <w:vAlign w:val="center"/>
          </w:tcPr>
          <w:p w14:paraId="0A293612"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-21.540</w:t>
            </w:r>
          </w:p>
        </w:tc>
      </w:tr>
      <w:tr w:rsidR="00F63EF9" w:rsidRPr="00A57564" w14:paraId="0625EB3E" w14:textId="77777777" w:rsidTr="00A57564">
        <w:trPr>
          <w:trHeight w:val="387"/>
          <w:jc w:val="center"/>
        </w:trPr>
        <w:tc>
          <w:tcPr>
            <w:tcW w:w="3550" w:type="dxa"/>
            <w:vAlign w:val="center"/>
            <w:hideMark/>
          </w:tcPr>
          <w:p w14:paraId="6A113E7A" w14:textId="77777777" w:rsidR="00F63EF9" w:rsidRPr="00A57564" w:rsidRDefault="00F63EF9" w:rsidP="001A034F">
            <w:pPr>
              <w:rPr>
                <w:rFonts w:ascii="Calibri" w:eastAsia="Calibri" w:hAnsi="Calibri" w:cs="Calibri"/>
                <w:bCs/>
                <w:color w:val="595959"/>
                <w:sz w:val="18"/>
                <w:szCs w:val="18"/>
              </w:rPr>
            </w:pPr>
            <w:r w:rsidRPr="00A57564">
              <w:rPr>
                <w:rFonts w:ascii="Calibri" w:eastAsia="Calibri" w:hAnsi="Calibri" w:cs="Calibri"/>
                <w:bCs/>
                <w:color w:val="595959"/>
                <w:sz w:val="18"/>
                <w:szCs w:val="18"/>
              </w:rPr>
              <w:t>Ενδοκυβερνητικοί τόκοι</w:t>
            </w:r>
          </w:p>
        </w:tc>
        <w:tc>
          <w:tcPr>
            <w:tcW w:w="2075" w:type="dxa"/>
            <w:tcBorders>
              <w:top w:val="nil"/>
              <w:left w:val="nil"/>
              <w:bottom w:val="nil"/>
              <w:right w:val="nil"/>
            </w:tcBorders>
            <w:shd w:val="clear" w:color="auto" w:fill="auto"/>
            <w:noWrap/>
            <w:vAlign w:val="center"/>
          </w:tcPr>
          <w:p w14:paraId="3296B97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-961</w:t>
            </w:r>
          </w:p>
        </w:tc>
        <w:tc>
          <w:tcPr>
            <w:tcW w:w="1102" w:type="dxa"/>
            <w:tcBorders>
              <w:top w:val="nil"/>
              <w:left w:val="nil"/>
              <w:bottom w:val="nil"/>
              <w:right w:val="nil"/>
            </w:tcBorders>
            <w:shd w:val="clear" w:color="auto" w:fill="auto"/>
            <w:noWrap/>
            <w:vAlign w:val="center"/>
          </w:tcPr>
          <w:p w14:paraId="5B5600B1"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-922</w:t>
            </w:r>
          </w:p>
        </w:tc>
        <w:tc>
          <w:tcPr>
            <w:tcW w:w="1502" w:type="dxa"/>
            <w:tcBorders>
              <w:top w:val="nil"/>
              <w:left w:val="nil"/>
              <w:bottom w:val="nil"/>
              <w:right w:val="nil"/>
            </w:tcBorders>
            <w:shd w:val="clear" w:color="auto" w:fill="auto"/>
            <w:noWrap/>
            <w:vAlign w:val="center"/>
          </w:tcPr>
          <w:p w14:paraId="0D6566D0"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39</w:t>
            </w:r>
          </w:p>
        </w:tc>
      </w:tr>
      <w:tr w:rsidR="00F63EF9" w:rsidRPr="00A57564" w14:paraId="3407E366" w14:textId="77777777" w:rsidTr="00A57564">
        <w:trPr>
          <w:trHeight w:val="387"/>
          <w:jc w:val="center"/>
        </w:trPr>
        <w:tc>
          <w:tcPr>
            <w:tcW w:w="3550" w:type="dxa"/>
            <w:vAlign w:val="center"/>
            <w:hideMark/>
          </w:tcPr>
          <w:p w14:paraId="77BE6D68"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Επίπτωση μεταβολής ληξιπρόθεσμων υποχρεώσεων</w:t>
            </w:r>
          </w:p>
        </w:tc>
        <w:tc>
          <w:tcPr>
            <w:tcW w:w="2075" w:type="dxa"/>
            <w:tcBorders>
              <w:top w:val="nil"/>
              <w:left w:val="nil"/>
              <w:bottom w:val="nil"/>
              <w:right w:val="nil"/>
            </w:tcBorders>
            <w:shd w:val="clear" w:color="auto" w:fill="auto"/>
            <w:noWrap/>
            <w:vAlign w:val="center"/>
          </w:tcPr>
          <w:p w14:paraId="5F781E59"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11</w:t>
            </w:r>
          </w:p>
        </w:tc>
        <w:tc>
          <w:tcPr>
            <w:tcW w:w="1102" w:type="dxa"/>
            <w:tcBorders>
              <w:top w:val="nil"/>
              <w:left w:val="nil"/>
              <w:bottom w:val="nil"/>
              <w:right w:val="nil"/>
            </w:tcBorders>
            <w:shd w:val="clear" w:color="auto" w:fill="auto"/>
            <w:noWrap/>
            <w:vAlign w:val="center"/>
          </w:tcPr>
          <w:p w14:paraId="1E312802"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152</w:t>
            </w:r>
          </w:p>
        </w:tc>
        <w:tc>
          <w:tcPr>
            <w:tcW w:w="1502" w:type="dxa"/>
            <w:tcBorders>
              <w:top w:val="nil"/>
              <w:left w:val="nil"/>
              <w:bottom w:val="nil"/>
              <w:right w:val="nil"/>
            </w:tcBorders>
            <w:shd w:val="clear" w:color="auto" w:fill="auto"/>
            <w:noWrap/>
            <w:vAlign w:val="center"/>
          </w:tcPr>
          <w:p w14:paraId="5ED888E0"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141</w:t>
            </w:r>
          </w:p>
        </w:tc>
      </w:tr>
      <w:tr w:rsidR="00F63EF9" w:rsidRPr="00A57564" w14:paraId="646156B6" w14:textId="77777777" w:rsidTr="00A57564">
        <w:trPr>
          <w:trHeight w:val="387"/>
          <w:jc w:val="center"/>
        </w:trPr>
        <w:tc>
          <w:tcPr>
            <w:tcW w:w="3550" w:type="dxa"/>
            <w:vAlign w:val="center"/>
            <w:hideMark/>
          </w:tcPr>
          <w:p w14:paraId="2DAB9AB8"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Μεταφορά εσόδων από ANFA και SMP</w:t>
            </w:r>
          </w:p>
        </w:tc>
        <w:tc>
          <w:tcPr>
            <w:tcW w:w="2075" w:type="dxa"/>
            <w:tcBorders>
              <w:top w:val="nil"/>
              <w:left w:val="nil"/>
              <w:bottom w:val="nil"/>
              <w:right w:val="nil"/>
            </w:tcBorders>
            <w:shd w:val="clear" w:color="auto" w:fill="auto"/>
            <w:noWrap/>
            <w:vAlign w:val="center"/>
          </w:tcPr>
          <w:p w14:paraId="2B5B5671"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-1.580</w:t>
            </w:r>
          </w:p>
        </w:tc>
        <w:tc>
          <w:tcPr>
            <w:tcW w:w="1102" w:type="dxa"/>
            <w:tcBorders>
              <w:top w:val="nil"/>
              <w:left w:val="nil"/>
              <w:bottom w:val="nil"/>
              <w:right w:val="nil"/>
            </w:tcBorders>
            <w:shd w:val="clear" w:color="auto" w:fill="auto"/>
            <w:noWrap/>
            <w:vAlign w:val="center"/>
          </w:tcPr>
          <w:p w14:paraId="6A0FFF7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-1.540</w:t>
            </w:r>
          </w:p>
        </w:tc>
        <w:tc>
          <w:tcPr>
            <w:tcW w:w="1502" w:type="dxa"/>
            <w:tcBorders>
              <w:top w:val="nil"/>
              <w:left w:val="nil"/>
              <w:bottom w:val="nil"/>
              <w:right w:val="nil"/>
            </w:tcBorders>
            <w:shd w:val="clear" w:color="auto" w:fill="auto"/>
            <w:noWrap/>
            <w:vAlign w:val="center"/>
          </w:tcPr>
          <w:p w14:paraId="02C8974F"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40</w:t>
            </w:r>
          </w:p>
        </w:tc>
      </w:tr>
      <w:tr w:rsidR="00F63EF9" w:rsidRPr="00A57564" w14:paraId="62D568F8" w14:textId="77777777" w:rsidTr="0096217C">
        <w:trPr>
          <w:trHeight w:val="387"/>
          <w:jc w:val="center"/>
        </w:trPr>
        <w:tc>
          <w:tcPr>
            <w:tcW w:w="3550" w:type="dxa"/>
            <w:vAlign w:val="center"/>
          </w:tcPr>
          <w:p w14:paraId="054879FC" w14:textId="77777777" w:rsidR="00F63EF9" w:rsidRPr="00A57564" w:rsidRDefault="00F63EF9" w:rsidP="001A034F">
            <w:pPr>
              <w:rPr>
                <w:rFonts w:ascii="Calibri" w:eastAsia="Calibri" w:hAnsi="Calibri" w:cs="Calibri"/>
                <w:color w:val="595959"/>
                <w:sz w:val="18"/>
                <w:szCs w:val="18"/>
              </w:rPr>
            </w:pPr>
            <w:r w:rsidRPr="00A57564">
              <w:rPr>
                <w:rFonts w:ascii="Calibri" w:eastAsia="Calibri" w:hAnsi="Calibri" w:cs="Calibri"/>
                <w:color w:val="595959"/>
                <w:sz w:val="18"/>
                <w:szCs w:val="18"/>
              </w:rPr>
              <w:t>Έσοδα αποκρατικοποιήσεων</w:t>
            </w:r>
          </w:p>
        </w:tc>
        <w:tc>
          <w:tcPr>
            <w:tcW w:w="2075" w:type="dxa"/>
            <w:tcBorders>
              <w:top w:val="nil"/>
              <w:left w:val="nil"/>
              <w:right w:val="nil"/>
            </w:tcBorders>
            <w:shd w:val="clear" w:color="auto" w:fill="auto"/>
            <w:noWrap/>
            <w:vAlign w:val="center"/>
          </w:tcPr>
          <w:p w14:paraId="487C7850"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-1.132</w:t>
            </w:r>
          </w:p>
        </w:tc>
        <w:tc>
          <w:tcPr>
            <w:tcW w:w="1102" w:type="dxa"/>
            <w:tcBorders>
              <w:top w:val="nil"/>
              <w:left w:val="nil"/>
              <w:right w:val="nil"/>
            </w:tcBorders>
            <w:shd w:val="clear" w:color="auto" w:fill="auto"/>
            <w:noWrap/>
            <w:vAlign w:val="center"/>
          </w:tcPr>
          <w:p w14:paraId="6A205EA4"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-7</w:t>
            </w:r>
          </w:p>
        </w:tc>
        <w:tc>
          <w:tcPr>
            <w:tcW w:w="1502" w:type="dxa"/>
            <w:tcBorders>
              <w:top w:val="nil"/>
              <w:left w:val="nil"/>
              <w:right w:val="nil"/>
            </w:tcBorders>
            <w:shd w:val="clear" w:color="auto" w:fill="auto"/>
            <w:noWrap/>
            <w:vAlign w:val="center"/>
          </w:tcPr>
          <w:p w14:paraId="76DBA1A7"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1.125</w:t>
            </w:r>
          </w:p>
        </w:tc>
      </w:tr>
      <w:tr w:rsidR="00F63EF9" w:rsidRPr="00A57564" w14:paraId="6308FB0A" w14:textId="77777777" w:rsidTr="0096217C">
        <w:trPr>
          <w:trHeight w:val="387"/>
          <w:jc w:val="center"/>
        </w:trPr>
        <w:tc>
          <w:tcPr>
            <w:tcW w:w="3550" w:type="dxa"/>
            <w:vAlign w:val="center"/>
          </w:tcPr>
          <w:p w14:paraId="3028E21D" w14:textId="77777777" w:rsidR="00F63EF9" w:rsidRPr="00A57564" w:rsidRDefault="00F63EF9" w:rsidP="001A034F">
            <w:pPr>
              <w:rPr>
                <w:rFonts w:ascii="Calibri" w:eastAsia="Calibri" w:hAnsi="Calibri" w:cs="Calibri"/>
                <w:color w:val="595959"/>
                <w:sz w:val="18"/>
                <w:szCs w:val="18"/>
                <w:lang w:val="en-US"/>
              </w:rPr>
            </w:pPr>
            <w:r w:rsidRPr="00A57564">
              <w:rPr>
                <w:rFonts w:ascii="Calibri" w:eastAsia="Calibri" w:hAnsi="Calibri" w:cs="Calibri"/>
                <w:color w:val="595959"/>
                <w:sz w:val="18"/>
                <w:szCs w:val="18"/>
              </w:rPr>
              <w:t>Προσαρμογές αναδρομικών αποδοχών</w:t>
            </w:r>
          </w:p>
        </w:tc>
        <w:tc>
          <w:tcPr>
            <w:tcW w:w="2075" w:type="dxa"/>
            <w:tcBorders>
              <w:top w:val="nil"/>
              <w:left w:val="nil"/>
              <w:right w:val="nil"/>
            </w:tcBorders>
            <w:shd w:val="clear" w:color="auto" w:fill="auto"/>
            <w:noWrap/>
            <w:vAlign w:val="center"/>
          </w:tcPr>
          <w:p w14:paraId="2B773B38"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240</w:t>
            </w:r>
          </w:p>
        </w:tc>
        <w:tc>
          <w:tcPr>
            <w:tcW w:w="1102" w:type="dxa"/>
            <w:tcBorders>
              <w:top w:val="nil"/>
              <w:left w:val="nil"/>
              <w:right w:val="nil"/>
            </w:tcBorders>
            <w:shd w:val="clear" w:color="auto" w:fill="auto"/>
            <w:noWrap/>
            <w:vAlign w:val="center"/>
          </w:tcPr>
          <w:p w14:paraId="18278E2A"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0</w:t>
            </w:r>
          </w:p>
        </w:tc>
        <w:tc>
          <w:tcPr>
            <w:tcW w:w="1502" w:type="dxa"/>
            <w:tcBorders>
              <w:top w:val="nil"/>
              <w:left w:val="nil"/>
              <w:right w:val="nil"/>
            </w:tcBorders>
            <w:shd w:val="clear" w:color="auto" w:fill="auto"/>
            <w:noWrap/>
            <w:vAlign w:val="center"/>
          </w:tcPr>
          <w:p w14:paraId="4085AB4A" w14:textId="77777777" w:rsidR="00F63EF9" w:rsidRPr="00A57564" w:rsidRDefault="00F63EF9" w:rsidP="001A034F">
            <w:pPr>
              <w:jc w:val="center"/>
              <w:rPr>
                <w:rFonts w:ascii="Calibri" w:hAnsi="Calibri" w:cs="Calibri"/>
                <w:color w:val="595959"/>
                <w:sz w:val="18"/>
                <w:szCs w:val="18"/>
              </w:rPr>
            </w:pPr>
            <w:r w:rsidRPr="00A57564">
              <w:rPr>
                <w:rFonts w:ascii="Calibri" w:hAnsi="Calibri" w:cs="Calibri"/>
                <w:color w:val="595959"/>
                <w:sz w:val="18"/>
                <w:szCs w:val="18"/>
              </w:rPr>
              <w:t>-240</w:t>
            </w:r>
          </w:p>
        </w:tc>
      </w:tr>
      <w:tr w:rsidR="00F63EF9" w:rsidRPr="00A57564" w14:paraId="4EC93D2C" w14:textId="77777777" w:rsidTr="0096217C">
        <w:trPr>
          <w:trHeight w:val="514"/>
          <w:jc w:val="center"/>
        </w:trPr>
        <w:tc>
          <w:tcPr>
            <w:tcW w:w="3550" w:type="dxa"/>
            <w:tcBorders>
              <w:bottom w:val="single" w:sz="4" w:space="0" w:color="auto"/>
            </w:tcBorders>
            <w:vAlign w:val="center"/>
            <w:hideMark/>
          </w:tcPr>
          <w:p w14:paraId="6A93A192" w14:textId="77777777" w:rsidR="00F63EF9" w:rsidRPr="00A57564" w:rsidRDefault="00F63EF9" w:rsidP="001A034F">
            <w:pPr>
              <w:rPr>
                <w:rFonts w:ascii="Calibri" w:eastAsia="Calibri" w:hAnsi="Calibri" w:cs="Calibri"/>
                <w:b/>
                <w:bCs/>
                <w:color w:val="595959"/>
                <w:sz w:val="18"/>
                <w:szCs w:val="18"/>
              </w:rPr>
            </w:pPr>
            <w:r w:rsidRPr="00A57564">
              <w:rPr>
                <w:rFonts w:ascii="Calibri" w:eastAsia="Calibri" w:hAnsi="Calibri" w:cs="Calibri"/>
                <w:b/>
                <w:bCs/>
                <w:color w:val="595959"/>
                <w:sz w:val="18"/>
                <w:szCs w:val="18"/>
              </w:rPr>
              <w:t>Ενοποιημένο Πρωτογενές Αποτέλεσμα Γενικής Κυβέρνησης με προσαρμογές</w:t>
            </w:r>
          </w:p>
        </w:tc>
        <w:tc>
          <w:tcPr>
            <w:tcW w:w="2075" w:type="dxa"/>
            <w:tcBorders>
              <w:left w:val="nil"/>
              <w:bottom w:val="single" w:sz="4" w:space="0" w:color="auto"/>
              <w:right w:val="nil"/>
            </w:tcBorders>
            <w:shd w:val="clear" w:color="auto" w:fill="auto"/>
            <w:noWrap/>
            <w:vAlign w:val="center"/>
          </w:tcPr>
          <w:p w14:paraId="3CAA504E"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6.474</w:t>
            </w:r>
          </w:p>
        </w:tc>
        <w:tc>
          <w:tcPr>
            <w:tcW w:w="1102" w:type="dxa"/>
            <w:tcBorders>
              <w:left w:val="nil"/>
              <w:bottom w:val="single" w:sz="4" w:space="0" w:color="auto"/>
              <w:right w:val="nil"/>
            </w:tcBorders>
            <w:shd w:val="clear" w:color="auto" w:fill="auto"/>
            <w:noWrap/>
            <w:vAlign w:val="center"/>
          </w:tcPr>
          <w:p w14:paraId="6CD79A3F"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-13.960</w:t>
            </w:r>
          </w:p>
        </w:tc>
        <w:tc>
          <w:tcPr>
            <w:tcW w:w="1502" w:type="dxa"/>
            <w:tcBorders>
              <w:left w:val="nil"/>
              <w:bottom w:val="single" w:sz="4" w:space="0" w:color="auto"/>
              <w:right w:val="nil"/>
            </w:tcBorders>
            <w:shd w:val="clear" w:color="auto" w:fill="auto"/>
            <w:noWrap/>
            <w:vAlign w:val="center"/>
          </w:tcPr>
          <w:p w14:paraId="264561E4" w14:textId="77777777" w:rsidR="00F63EF9" w:rsidRPr="00A57564" w:rsidRDefault="00F63EF9" w:rsidP="001A034F">
            <w:pPr>
              <w:jc w:val="center"/>
              <w:rPr>
                <w:rFonts w:ascii="Calibri" w:hAnsi="Calibri" w:cs="Calibri"/>
                <w:b/>
                <w:bCs/>
                <w:color w:val="595959"/>
                <w:sz w:val="18"/>
                <w:szCs w:val="18"/>
              </w:rPr>
            </w:pPr>
            <w:r w:rsidRPr="00A57564">
              <w:rPr>
                <w:rFonts w:ascii="Calibri" w:hAnsi="Calibri" w:cs="Calibri"/>
                <w:b/>
                <w:bCs/>
                <w:color w:val="595959"/>
                <w:sz w:val="18"/>
                <w:szCs w:val="18"/>
              </w:rPr>
              <w:t>-20.434</w:t>
            </w:r>
          </w:p>
        </w:tc>
      </w:tr>
      <w:tr w:rsidR="00F63EF9" w:rsidRPr="00A57564" w14:paraId="446889B2" w14:textId="77777777" w:rsidTr="0096217C">
        <w:trPr>
          <w:trHeight w:val="245"/>
          <w:jc w:val="center"/>
        </w:trPr>
        <w:tc>
          <w:tcPr>
            <w:tcW w:w="8230" w:type="dxa"/>
            <w:gridSpan w:val="4"/>
            <w:tcBorders>
              <w:top w:val="single" w:sz="4" w:space="0" w:color="auto"/>
            </w:tcBorders>
            <w:noWrap/>
            <w:hideMark/>
          </w:tcPr>
          <w:p w14:paraId="60CD5B51" w14:textId="77777777" w:rsidR="00F63EF9" w:rsidRDefault="00F63EF9" w:rsidP="001A034F">
            <w:pPr>
              <w:rPr>
                <w:rFonts w:ascii="Calibri" w:eastAsia="Calibri" w:hAnsi="Calibri" w:cs="Calibri"/>
                <w:iCs/>
                <w:color w:val="595959"/>
                <w:sz w:val="18"/>
                <w:szCs w:val="18"/>
              </w:rPr>
            </w:pPr>
            <w:r w:rsidRPr="00A57564">
              <w:rPr>
                <w:rFonts w:ascii="Calibri" w:eastAsia="Calibri" w:hAnsi="Calibri" w:cs="Calibri"/>
                <w:bCs/>
                <w:color w:val="595959"/>
                <w:sz w:val="18"/>
                <w:szCs w:val="18"/>
              </w:rPr>
              <w:t>Πηγή:</w:t>
            </w:r>
            <w:r w:rsidRPr="00A57564">
              <w:rPr>
                <w:rFonts w:ascii="Calibri" w:eastAsia="Calibri" w:hAnsi="Calibri" w:cs="Calibri"/>
                <w:iCs/>
                <w:color w:val="595959"/>
                <w:sz w:val="18"/>
                <w:szCs w:val="18"/>
              </w:rPr>
              <w:t xml:space="preserve"> Εκτέλεση προϋπολογισμού </w:t>
            </w:r>
            <w:hyperlink r:id="rId65" w:history="1">
              <w:r w:rsidRPr="00A57564">
                <w:rPr>
                  <w:rFonts w:ascii="Calibri" w:eastAsia="Calibri" w:hAnsi="Calibri" w:cs="Times New Roman"/>
                  <w:color w:val="595959"/>
                  <w:sz w:val="18"/>
                  <w:szCs w:val="18"/>
                  <w:u w:val="single"/>
                </w:rPr>
                <w:t>Κράτους</w:t>
              </w:r>
            </w:hyperlink>
            <w:r w:rsidRPr="00A57564">
              <w:rPr>
                <w:rFonts w:ascii="Calibri" w:eastAsia="Calibri" w:hAnsi="Calibri" w:cs="Calibri"/>
                <w:iCs/>
                <w:color w:val="595959"/>
                <w:sz w:val="18"/>
                <w:szCs w:val="18"/>
              </w:rPr>
              <w:t xml:space="preserve"> και </w:t>
            </w:r>
            <w:hyperlink r:id="rId66" w:history="1">
              <w:r w:rsidRPr="00A57564">
                <w:rPr>
                  <w:rFonts w:ascii="Calibri" w:eastAsia="Calibri" w:hAnsi="Calibri" w:cs="Times New Roman"/>
                  <w:color w:val="595959"/>
                  <w:sz w:val="18"/>
                  <w:szCs w:val="18"/>
                  <w:u w:val="single"/>
                </w:rPr>
                <w:t>Γενικής Κυβέρνησης</w:t>
              </w:r>
            </w:hyperlink>
            <w:r w:rsidRPr="00A57564">
              <w:rPr>
                <w:rFonts w:ascii="Calibri" w:eastAsia="Calibri" w:hAnsi="Calibri" w:cs="Calibri"/>
                <w:iCs/>
                <w:color w:val="595959"/>
                <w:sz w:val="18"/>
                <w:szCs w:val="18"/>
              </w:rPr>
              <w:t>, εκτιμήσεις ΓΠΚΒ</w:t>
            </w:r>
          </w:p>
          <w:p w14:paraId="193C968E" w14:textId="77777777" w:rsidR="0096217C" w:rsidRPr="00A57564" w:rsidRDefault="0096217C" w:rsidP="001A034F">
            <w:pPr>
              <w:rPr>
                <w:rFonts w:ascii="Calibri" w:eastAsia="Calibri" w:hAnsi="Calibri" w:cs="Calibri"/>
                <w:color w:val="595959"/>
                <w:sz w:val="18"/>
                <w:szCs w:val="18"/>
              </w:rPr>
            </w:pPr>
          </w:p>
        </w:tc>
      </w:tr>
    </w:tbl>
    <w:p w14:paraId="713C3E29" w14:textId="77777777" w:rsidR="00F63EF9" w:rsidRPr="00827771" w:rsidRDefault="00F63EF9" w:rsidP="003B1BE9">
      <w:pPr>
        <w:pStyle w:val="3"/>
        <w:spacing w:before="0" w:line="276" w:lineRule="auto"/>
        <w:rPr>
          <w:rFonts w:ascii="Calibri Light" w:eastAsia="Times New Roman" w:hAnsi="Calibri Light" w:cs="Times New Roman"/>
          <w:color w:val="4472C4"/>
          <w:sz w:val="26"/>
          <w:szCs w:val="26"/>
        </w:rPr>
      </w:pPr>
      <w:bookmarkStart w:id="81" w:name="_Toc67401910"/>
      <w:r w:rsidRPr="00827771">
        <w:rPr>
          <w:rFonts w:eastAsia="Calibri"/>
        </w:rPr>
        <w:lastRenderedPageBreak/>
        <w:t>Μεθοδολογικές Διευκρινίσεις</w:t>
      </w:r>
      <w:bookmarkEnd w:id="81"/>
    </w:p>
    <w:p w14:paraId="2F29A601" w14:textId="77777777" w:rsidR="00F63EF9" w:rsidRPr="00827771" w:rsidRDefault="00F63EF9" w:rsidP="003B1BE9">
      <w:pPr>
        <w:spacing w:after="0" w:line="276" w:lineRule="auto"/>
        <w:rPr>
          <w:rFonts w:ascii="Calibri" w:eastAsia="Calibri" w:hAnsi="Calibri" w:cs="Times New Roman"/>
        </w:rPr>
      </w:pPr>
    </w:p>
    <w:p w14:paraId="6BD2389F" w14:textId="213B28B4"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Τα στοιχεία του Κρατικού </w:t>
      </w:r>
      <w:r w:rsidR="00357835">
        <w:rPr>
          <w:rFonts w:ascii="Calibri" w:eastAsia="Calibri" w:hAnsi="Calibri" w:cs="Calibri"/>
          <w:color w:val="595959"/>
        </w:rPr>
        <w:t>Π</w:t>
      </w:r>
      <w:r w:rsidRPr="00827771">
        <w:rPr>
          <w:rFonts w:ascii="Calibri" w:eastAsia="Calibri" w:hAnsi="Calibri" w:cs="Calibri"/>
          <w:color w:val="595959"/>
        </w:rPr>
        <w:t xml:space="preserve">ροϋπολογισμού προέρχονται από το </w:t>
      </w:r>
      <w:hyperlink r:id="rId67" w:history="1">
        <w:r w:rsidRPr="00827771">
          <w:rPr>
            <w:color w:val="595959"/>
            <w:u w:val="single"/>
          </w:rPr>
          <w:t>μηνιαίο δελτίο εκτέλεσης Κρατικού Προϋπολογισμού</w:t>
        </w:r>
      </w:hyperlink>
      <w:r w:rsidRPr="00827771">
        <w:rPr>
          <w:rFonts w:ascii="Calibri" w:eastAsia="Calibri" w:hAnsi="Calibri" w:cs="Calibri"/>
          <w:color w:val="595959"/>
        </w:rPr>
        <w:t xml:space="preserve"> ενώ τα στοιχεία των λοιπών </w:t>
      </w:r>
      <w:proofErr w:type="spellStart"/>
      <w:r w:rsidRPr="00827771">
        <w:rPr>
          <w:rFonts w:ascii="Calibri" w:eastAsia="Calibri" w:hAnsi="Calibri" w:cs="Calibri"/>
          <w:color w:val="595959"/>
        </w:rPr>
        <w:t>υποτομέων</w:t>
      </w:r>
      <w:proofErr w:type="spellEnd"/>
      <w:r w:rsidRPr="00827771">
        <w:rPr>
          <w:rFonts w:ascii="Calibri" w:eastAsia="Calibri" w:hAnsi="Calibri" w:cs="Calibri"/>
          <w:color w:val="595959"/>
        </w:rPr>
        <w:t xml:space="preserve"> της Γενικής Κυβέρνησης από το </w:t>
      </w:r>
      <w:hyperlink r:id="rId68" w:history="1">
        <w:r w:rsidRPr="00827771">
          <w:rPr>
            <w:color w:val="595959"/>
            <w:u w:val="single"/>
          </w:rPr>
          <w:t>μηνιαίο δελτίο της Γενικής Κυβέρνησης</w:t>
        </w:r>
      </w:hyperlink>
      <w:r w:rsidRPr="00827771">
        <w:rPr>
          <w:rFonts w:ascii="Calibri" w:eastAsia="Calibri" w:hAnsi="Calibri" w:cs="Calibri"/>
          <w:color w:val="595959"/>
        </w:rPr>
        <w:t xml:space="preserve"> όπως δημοσιεύονται στην ιστοσελίδα του Υπουργείου Οικονομικών. Σημειώνεται ότι το δελτίο εκτέλεσης του κρατικού προϋπολογισμού έχει αλλάξει από τον Ιανουάριο του 2019 στα πρότυπα του νέου Λογιστικού Σχεδίου. </w:t>
      </w:r>
    </w:p>
    <w:p w14:paraId="7AD317CE"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Υπάρχουν δύο ιδιαιτερότητες στη χρήση των δελτίων για τις ανάγκες του παρόντος πίνακα. Η πρώτη αφορά το ταμειακό αποτέλεσμα του κράτους στο δελτίο της Γενικής Κυβέρνησης που δεν είναι ίδιο με εκείνο που δημοσιεύεται στο δελτίο του Κράτους (βλ. προσαρμογές στη σελίδα 30 του Δελτίου Γενικής Κυβέρνησης). Για λόγους απλούστευσης, τα ταμειακά στοιχεία που παρουσιάζουμε προέρχονται από το δελτίο του Κράτους όπως εμφανίζεται στο στοιχείο 3 του πίνακα 1 (βλ. και πληροφοριακά στοιχεία του πίνακα 1 για το πρωτογενές αποτέλεσμα κρατικού προϋπολογισμού) και περιλαμβάνουν την επίπτωση του προγράμματος εξόφλησης υποχρεώσεων παρελθόντων ετών και εκκρεμών αιτήσεων συνταξιοδότησης. Επιπρόσθετα, δεν περιλαμβάνουμε τα έσοδα από το Πρόγραμμα Δημοσίων Επενδύσεων (ΠΔΕ) στα μη Φορολογικά και μη Τακτικά έσοδα του Κρατικού Προϋπολογισμού, αλλά τα εμφανίζουμε ως ξεχωριστή κατηγορία εσόδων. </w:t>
      </w:r>
    </w:p>
    <w:p w14:paraId="0F453758"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Η δεύτερη αφορά τους ενδοκυβερνητικούς τόκους, δηλαδή τους τόκους που καταβάλλει το κράτος στους φορείς της Γενικής Κυβέρνησης που κατέχουν κρατικούς τίτλους – κυρίως </w:t>
      </w:r>
      <w:proofErr w:type="spellStart"/>
      <w:r w:rsidRPr="00827771">
        <w:rPr>
          <w:rFonts w:ascii="Calibri" w:eastAsia="Calibri" w:hAnsi="Calibri" w:cs="Calibri"/>
          <w:color w:val="595959"/>
        </w:rPr>
        <w:t>repos</w:t>
      </w:r>
      <w:proofErr w:type="spellEnd"/>
      <w:r w:rsidRPr="00827771">
        <w:rPr>
          <w:rFonts w:ascii="Calibri" w:eastAsia="Calibri" w:hAnsi="Calibri" w:cs="Calibri"/>
          <w:color w:val="595959"/>
        </w:rPr>
        <w:t xml:space="preserve">. Αυτοί έχουν μεν εξουδετερωθεί από το πρωτογενές αποτέλεσμα του κράτους (αφού συμπεριλαμβάνονται στις δαπάνες για τόκους), παραμένουν όμως στα έσοδα των </w:t>
      </w:r>
      <w:proofErr w:type="spellStart"/>
      <w:r w:rsidRPr="00827771">
        <w:rPr>
          <w:rFonts w:ascii="Calibri" w:eastAsia="Calibri" w:hAnsi="Calibri" w:cs="Calibri"/>
          <w:color w:val="595959"/>
        </w:rPr>
        <w:t>υποτομέων</w:t>
      </w:r>
      <w:proofErr w:type="spellEnd"/>
      <w:r w:rsidRPr="00827771">
        <w:rPr>
          <w:rFonts w:ascii="Calibri" w:eastAsia="Calibri" w:hAnsi="Calibri" w:cs="Calibri"/>
          <w:color w:val="595959"/>
        </w:rPr>
        <w:t xml:space="preserve">. Το ύψος τους ισούται με το άθροισμα των πρωτογενών αποτελεσμάτων των επιμέρους </w:t>
      </w:r>
      <w:proofErr w:type="spellStart"/>
      <w:r w:rsidRPr="00827771">
        <w:rPr>
          <w:rFonts w:ascii="Calibri" w:eastAsia="Calibri" w:hAnsi="Calibri" w:cs="Calibri"/>
          <w:color w:val="595959"/>
        </w:rPr>
        <w:t>υποτομέων</w:t>
      </w:r>
      <w:proofErr w:type="spellEnd"/>
      <w:r w:rsidRPr="00827771">
        <w:rPr>
          <w:rFonts w:ascii="Calibri" w:eastAsia="Calibri" w:hAnsi="Calibri" w:cs="Calibri"/>
          <w:color w:val="595959"/>
        </w:rPr>
        <w:t xml:space="preserve">, μείον το ενοποιημένο πρωτογενές αποτέλεσμα της Γενικής Κυβέρνησης (βλ. σελ. 2 Δελτίου Γενικής Κυβέρνησης). Στον πίνακά μας η ενοποίηση των ενδοκυβερνητικών τόκων γίνεται μαζί με τις υπόλοιπες τελικές προσαρμογές. </w:t>
      </w:r>
    </w:p>
    <w:p w14:paraId="6D68E808"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Οι υπόλοιπες προσαρμογές είναι η μεταβολή των ληξιπρόθεσμων υποχρεώσεων της Γενικής Κυβέρνησης (προσεγγιστικό μέγεθος για τη μεταβολή των απλήρωτων υποχρεώσεων), τα έσοδα από </w:t>
      </w:r>
      <w:proofErr w:type="spellStart"/>
      <w:r w:rsidRPr="00827771">
        <w:rPr>
          <w:rFonts w:ascii="Calibri" w:eastAsia="Calibri" w:hAnsi="Calibri" w:cs="Calibri"/>
          <w:color w:val="595959"/>
        </w:rPr>
        <w:t>ANFAs</w:t>
      </w:r>
      <w:proofErr w:type="spellEnd"/>
      <w:r w:rsidRPr="00827771">
        <w:rPr>
          <w:rFonts w:ascii="Calibri" w:eastAsia="Calibri" w:hAnsi="Calibri" w:cs="Calibri"/>
          <w:color w:val="595959"/>
        </w:rPr>
        <w:t xml:space="preserve"> και </w:t>
      </w:r>
      <w:proofErr w:type="spellStart"/>
      <w:r w:rsidRPr="00827771">
        <w:rPr>
          <w:rFonts w:ascii="Calibri" w:eastAsia="Calibri" w:hAnsi="Calibri" w:cs="Calibri"/>
          <w:color w:val="595959"/>
        </w:rPr>
        <w:t>SMPs</w:t>
      </w:r>
      <w:proofErr w:type="spellEnd"/>
      <w:r w:rsidRPr="00827771">
        <w:rPr>
          <w:rFonts w:ascii="Calibri" w:eastAsia="Calibri" w:hAnsi="Calibri" w:cs="Calibri"/>
          <w:color w:val="595959"/>
        </w:rPr>
        <w:t xml:space="preserve"> (περιλαμβάνονται κατά </w:t>
      </w:r>
      <w:r w:rsidRPr="00827771">
        <w:rPr>
          <w:rFonts w:ascii="Calibri" w:eastAsia="Calibri" w:hAnsi="Calibri" w:cs="Calibri"/>
          <w:color w:val="595959"/>
          <w:lang w:val="en-US"/>
        </w:rPr>
        <w:t>ESA</w:t>
      </w:r>
      <w:r w:rsidRPr="00827771">
        <w:rPr>
          <w:rFonts w:ascii="Calibri" w:eastAsia="Calibri" w:hAnsi="Calibri" w:cs="Calibri"/>
          <w:color w:val="595959"/>
        </w:rPr>
        <w:t xml:space="preserve"> αλλά εξαιρούνται από τη μεθοδολογία της ενισχυμένης εποπτείας) και οι πωλήσεις πάγιων περιουσιακών στοιχείων</w:t>
      </w:r>
      <w:r w:rsidRPr="00827771">
        <w:rPr>
          <w:rStyle w:val="a5"/>
          <w:rFonts w:ascii="Calibri" w:eastAsia="Calibri" w:hAnsi="Calibri" w:cs="Calibri"/>
          <w:color w:val="595959"/>
        </w:rPr>
        <w:footnoteReference w:id="2"/>
      </w:r>
      <w:r w:rsidRPr="00827771">
        <w:rPr>
          <w:rFonts w:ascii="Calibri" w:eastAsia="Calibri" w:hAnsi="Calibri" w:cs="Calibri"/>
          <w:color w:val="595959"/>
        </w:rPr>
        <w:t xml:space="preserve"> (υπολογίζονται κατά </w:t>
      </w:r>
      <w:r w:rsidRPr="00827771">
        <w:rPr>
          <w:rFonts w:ascii="Calibri" w:eastAsia="Calibri" w:hAnsi="Calibri" w:cs="Calibri"/>
          <w:color w:val="595959"/>
          <w:lang w:val="en-US"/>
        </w:rPr>
        <w:t>ESA</w:t>
      </w:r>
      <w:r w:rsidRPr="00827771">
        <w:rPr>
          <w:rFonts w:ascii="Calibri" w:eastAsia="Calibri" w:hAnsi="Calibri" w:cs="Calibri"/>
          <w:color w:val="595959"/>
        </w:rPr>
        <w:t xml:space="preserve"> αλλά εξαιρούνται με τη σύμβαση ενισχυμένης εποπτείας). </w:t>
      </w:r>
    </w:p>
    <w:p w14:paraId="6C9A7C88" w14:textId="77777777" w:rsidR="00F63EF9" w:rsidRPr="00827771" w:rsidRDefault="00F63EF9" w:rsidP="003B1BE9">
      <w:pPr>
        <w:spacing w:line="276" w:lineRule="auto"/>
        <w:jc w:val="both"/>
        <w:rPr>
          <w:rFonts w:ascii="Calibri" w:eastAsia="Calibri" w:hAnsi="Calibri" w:cs="Calibri"/>
          <w:color w:val="595959"/>
        </w:rPr>
      </w:pPr>
      <w:r w:rsidRPr="00827771">
        <w:rPr>
          <w:rFonts w:ascii="Calibri" w:eastAsia="Calibri" w:hAnsi="Calibri" w:cs="Calibri"/>
          <w:color w:val="595959"/>
        </w:rPr>
        <w:t xml:space="preserve">Μια επιπλέον προσαρμογή για το 2019 με τίτλο «Προσαρμογές αναδρομικών» ύψους 240 εκατ. ευρώ αφορά την καθαρή επίπτωση από τις αναδρομικές αποδοχές των ειδικών μισθολογίων που καταβλήθηκαν το 2019 αλλά επιβάρυναν δημοσιονομικά το 2018 σε </w:t>
      </w:r>
      <w:r w:rsidRPr="00827771">
        <w:rPr>
          <w:rFonts w:ascii="Calibri" w:eastAsia="Calibri" w:hAnsi="Calibri" w:cs="Calibri"/>
          <w:color w:val="595959"/>
        </w:rPr>
        <w:lastRenderedPageBreak/>
        <w:t xml:space="preserve">δεδουλευμένους όρους. Το ακαθάριστο ποσό είναι 324 εκατ. ευρώ αλλά 80 περίπου εκατ. ευρώ </w:t>
      </w:r>
      <w:proofErr w:type="spellStart"/>
      <w:r w:rsidRPr="00827771">
        <w:rPr>
          <w:rFonts w:ascii="Calibri" w:eastAsia="Calibri" w:hAnsi="Calibri" w:cs="Calibri"/>
          <w:color w:val="595959"/>
        </w:rPr>
        <w:t>παρακρατήθηκαν</w:t>
      </w:r>
      <w:proofErr w:type="spellEnd"/>
      <w:r w:rsidRPr="00827771">
        <w:rPr>
          <w:rFonts w:ascii="Calibri" w:eastAsia="Calibri" w:hAnsi="Calibri" w:cs="Calibri"/>
          <w:color w:val="595959"/>
        </w:rPr>
        <w:t xml:space="preserve"> ως φόροι και ασφαλιστικές εισφορές. </w:t>
      </w:r>
    </w:p>
    <w:p w14:paraId="7DA85088" w14:textId="77777777" w:rsidR="00F63EF9" w:rsidRPr="00C122EF" w:rsidRDefault="00F63EF9" w:rsidP="003B1BE9">
      <w:pPr>
        <w:spacing w:after="0" w:line="276" w:lineRule="auto"/>
        <w:jc w:val="both"/>
        <w:rPr>
          <w:rFonts w:ascii="Calibri" w:eastAsia="Calibri" w:hAnsi="Calibri" w:cs="Times New Roman"/>
          <w:color w:val="595959"/>
        </w:rPr>
      </w:pPr>
      <w:r w:rsidRPr="00827771">
        <w:rPr>
          <w:rFonts w:ascii="Calibri" w:eastAsia="Calibri" w:hAnsi="Calibri" w:cs="Times New Roman"/>
          <w:color w:val="595959"/>
        </w:rPr>
        <w:t xml:space="preserve">Σημειώνεται, τέλος, ότι το Ενοποιημένο Πρωτογενές Αποτέλεσμα με Προσαρμογές που παρουσιάζουμε είναι μια εκτίμηση που διευκολύνει τη σύγκριση με το αντίστοιχο διάστημα του προηγούμενου έτους (που έχει υπολογιστεί με την ίδια μεθοδολογία) και επιτρέπει την παρακολούθηση της δημοσιονομικής πορείας κατά το τρέχον έτος. Τονίζουμε, ωστόσο, ότι δεν είναι συγκρίσιμο με το αποτέλεσμα που δημοσιεύει η ΕΛΣΤΑΤ ακολουθώντας τη μεθοδολογία ESA ούτε με εκείνο που δημοσιοποιεί το ΓΛΚ ακολουθώντας τη μεθοδολογία της ενισχυμένης εποπτείας. Αυτά τα τελευταία είναι τα μόνα επίσημα αποτελέσματα και περιλαμβάνουν επιπλέον προσαρμογές όπως η χρονική μεταχείριση επιμέρους φορολογικών εσόδων, ο υπολογισμός </w:t>
      </w:r>
      <w:proofErr w:type="spellStart"/>
      <w:r w:rsidRPr="00827771">
        <w:rPr>
          <w:rFonts w:ascii="Calibri" w:eastAsia="Calibri" w:hAnsi="Calibri" w:cs="Times New Roman"/>
          <w:color w:val="595959"/>
        </w:rPr>
        <w:t>clawback</w:t>
      </w:r>
      <w:proofErr w:type="spellEnd"/>
      <w:r w:rsidRPr="00827771">
        <w:rPr>
          <w:rFonts w:ascii="Calibri" w:eastAsia="Calibri" w:hAnsi="Calibri" w:cs="Times New Roman"/>
          <w:color w:val="595959"/>
        </w:rPr>
        <w:t>/</w:t>
      </w:r>
      <w:proofErr w:type="spellStart"/>
      <w:r w:rsidRPr="00827771">
        <w:rPr>
          <w:rFonts w:ascii="Calibri" w:eastAsia="Calibri" w:hAnsi="Calibri" w:cs="Times New Roman"/>
          <w:color w:val="595959"/>
        </w:rPr>
        <w:t>rebate</w:t>
      </w:r>
      <w:proofErr w:type="spellEnd"/>
      <w:r w:rsidRPr="00827771">
        <w:rPr>
          <w:rFonts w:ascii="Calibri" w:eastAsia="Calibri" w:hAnsi="Calibri" w:cs="Times New Roman"/>
          <w:color w:val="595959"/>
        </w:rPr>
        <w:t>, η διαφορά πληρωμών από φυσικές παραλαβές εξοπλιστικών, η διαφορά εισπράξεων από αιτήματα πληρωμής (</w:t>
      </w:r>
      <w:proofErr w:type="spellStart"/>
      <w:r w:rsidRPr="00827771">
        <w:rPr>
          <w:rFonts w:ascii="Calibri" w:eastAsia="Calibri" w:hAnsi="Calibri" w:cs="Times New Roman"/>
          <w:color w:val="595959"/>
        </w:rPr>
        <w:t>claims</w:t>
      </w:r>
      <w:proofErr w:type="spellEnd"/>
      <w:r w:rsidRPr="00827771">
        <w:rPr>
          <w:rFonts w:ascii="Calibri" w:eastAsia="Calibri" w:hAnsi="Calibri" w:cs="Times New Roman"/>
          <w:color w:val="595959"/>
        </w:rPr>
        <w:t>) ΠΔΕ, τα οριστικά στοιχεία μεταβολής των απλήρωτων υποχρεώσεων και εκκρεμών επιστροφών φόρων κ.λπ., οι οποίες απουσιάζουν από τον παραπάνω πίνακα.</w:t>
      </w:r>
    </w:p>
    <w:p w14:paraId="3D267D99" w14:textId="77777777" w:rsidR="009B2059" w:rsidRPr="00575A7E" w:rsidRDefault="009B2059" w:rsidP="003B1BE9">
      <w:pPr>
        <w:spacing w:after="0" w:line="276" w:lineRule="auto"/>
        <w:jc w:val="both"/>
        <w:rPr>
          <w:rFonts w:ascii="Calibri" w:eastAsia="Calibri" w:hAnsi="Calibri" w:cs="Times New Roman"/>
          <w:color w:val="595959"/>
        </w:rPr>
      </w:pPr>
    </w:p>
    <w:p w14:paraId="08AD2ABB" w14:textId="77777777" w:rsidR="001A034F" w:rsidRDefault="001A034F">
      <w:pPr>
        <w:rPr>
          <w:rFonts w:asciiTheme="majorHAnsi" w:eastAsia="Times New Roman" w:hAnsiTheme="majorHAnsi" w:cstheme="majorBidi"/>
          <w:b/>
          <w:color w:val="4472C4" w:themeColor="accent1"/>
          <w:sz w:val="26"/>
          <w:szCs w:val="26"/>
        </w:rPr>
      </w:pPr>
      <w:r>
        <w:rPr>
          <w:rFonts w:eastAsia="Times New Roman"/>
          <w:bCs/>
        </w:rPr>
        <w:br w:type="page"/>
      </w:r>
    </w:p>
    <w:p w14:paraId="764CFABB" w14:textId="77777777" w:rsidR="00FC3258" w:rsidRPr="00575A7E" w:rsidRDefault="00FC3258" w:rsidP="003B1BE9">
      <w:pPr>
        <w:pStyle w:val="2"/>
        <w:spacing w:before="0" w:line="276" w:lineRule="auto"/>
        <w:jc w:val="both"/>
        <w:rPr>
          <w:rFonts w:eastAsia="Times New Roman"/>
          <w:bCs w:val="0"/>
        </w:rPr>
      </w:pPr>
      <w:bookmarkStart w:id="82" w:name="_Toc67401911"/>
      <w:r w:rsidRPr="00575A7E">
        <w:rPr>
          <w:rFonts w:eastAsia="Times New Roman"/>
          <w:bCs w:val="0"/>
        </w:rPr>
        <w:lastRenderedPageBreak/>
        <w:t>2.</w:t>
      </w:r>
      <w:r w:rsidR="0024198C" w:rsidRPr="00575A7E">
        <w:rPr>
          <w:rFonts w:eastAsia="Times New Roman"/>
          <w:bCs w:val="0"/>
        </w:rPr>
        <w:t>2</w:t>
      </w:r>
      <w:r w:rsidR="00E337B5" w:rsidRPr="00575A7E">
        <w:rPr>
          <w:rFonts w:eastAsia="Times New Roman"/>
          <w:bCs w:val="0"/>
        </w:rPr>
        <w:t>.</w:t>
      </w:r>
      <w:r w:rsidRPr="00575A7E">
        <w:rPr>
          <w:rFonts w:eastAsia="Times New Roman"/>
          <w:bCs w:val="0"/>
        </w:rPr>
        <w:t xml:space="preserve"> Ληξιπρόθεσμες υποχρεώσεις και απαιτήσεις Δημοσίου</w:t>
      </w:r>
      <w:bookmarkEnd w:id="77"/>
      <w:bookmarkEnd w:id="78"/>
      <w:bookmarkEnd w:id="79"/>
      <w:bookmarkEnd w:id="82"/>
    </w:p>
    <w:p w14:paraId="023BDDFC" w14:textId="77777777" w:rsidR="00853483" w:rsidRPr="00575A7E" w:rsidRDefault="00853483" w:rsidP="003B1BE9">
      <w:pPr>
        <w:spacing w:after="0" w:line="276" w:lineRule="auto"/>
        <w:jc w:val="both"/>
      </w:pPr>
    </w:p>
    <w:p w14:paraId="4DBFBE60" w14:textId="77777777" w:rsidR="00E834CA" w:rsidRPr="00575A7E" w:rsidRDefault="00E834CA" w:rsidP="003B1BE9">
      <w:pPr>
        <w:pStyle w:val="3"/>
        <w:spacing w:before="0" w:line="276" w:lineRule="auto"/>
        <w:jc w:val="both"/>
        <w:rPr>
          <w:rFonts w:eastAsia="Calibri"/>
        </w:rPr>
      </w:pPr>
      <w:bookmarkStart w:id="83" w:name="_Toc521341313"/>
      <w:bookmarkStart w:id="84" w:name="_Toc33093581"/>
      <w:bookmarkStart w:id="85" w:name="_Toc67401912"/>
      <w:r w:rsidRPr="00575A7E">
        <w:rPr>
          <w:rFonts w:eastAsia="Calibri"/>
        </w:rPr>
        <w:t>Ληξιπρόθεσμες υποχρεώσεις δημοσίου</w:t>
      </w:r>
      <w:bookmarkEnd w:id="83"/>
      <w:bookmarkEnd w:id="84"/>
      <w:bookmarkEnd w:id="85"/>
    </w:p>
    <w:p w14:paraId="5A93BCFE" w14:textId="77777777" w:rsidR="00E11FCD" w:rsidRPr="00575A7E" w:rsidRDefault="00E11FCD" w:rsidP="003B1BE9">
      <w:pPr>
        <w:spacing w:after="0" w:line="276" w:lineRule="auto"/>
        <w:jc w:val="both"/>
      </w:pPr>
    </w:p>
    <w:p w14:paraId="70C63F8D" w14:textId="71AA9D52" w:rsidR="00E834CA" w:rsidRPr="00575A7E" w:rsidRDefault="00A57564" w:rsidP="003B1BE9">
      <w:pPr>
        <w:spacing w:after="0" w:line="276" w:lineRule="auto"/>
        <w:jc w:val="both"/>
        <w:rPr>
          <w:rFonts w:ascii="Calibri" w:eastAsia="Calibri" w:hAnsi="Calibri" w:cs="Times New Roman"/>
          <w:color w:val="595959"/>
        </w:rPr>
      </w:pPr>
      <w:r>
        <w:rPr>
          <w:rFonts w:ascii="Calibri" w:eastAsia="Calibri" w:hAnsi="Calibri" w:cs="Times New Roman"/>
          <w:color w:val="595959"/>
        </w:rPr>
        <w:t>Ο</w:t>
      </w:r>
      <w:r w:rsidR="00E834CA" w:rsidRPr="00575A7E">
        <w:rPr>
          <w:rFonts w:ascii="Calibri" w:eastAsia="Calibri" w:hAnsi="Calibri" w:cs="Times New Roman"/>
          <w:color w:val="595959"/>
        </w:rPr>
        <w:t>ι ληξιπρόθεσμες υποχρεώσεις του δημοσίου προς τους ιδιώτες διακρίνονται στις ληξιπρόθεσμες δαπάνες για αγορά αγαθών και υπηρεσιών από τους φορείς της Γενικής Κυβέρνησης και στις εκκρεμείς επιστροφές φόρων.</w:t>
      </w:r>
    </w:p>
    <w:p w14:paraId="0080F7EB" w14:textId="77777777" w:rsidR="00A00390" w:rsidRPr="00575A7E" w:rsidRDefault="00A00390" w:rsidP="003B1BE9">
      <w:pPr>
        <w:spacing w:after="0" w:line="276" w:lineRule="auto"/>
        <w:jc w:val="both"/>
        <w:rPr>
          <w:rFonts w:ascii="Calibri" w:eastAsia="Calibri" w:hAnsi="Calibri" w:cs="Times New Roman"/>
          <w:color w:val="595959"/>
        </w:rPr>
      </w:pPr>
    </w:p>
    <w:p w14:paraId="6EB390DD" w14:textId="2ACA55E8" w:rsidR="007B2C4B" w:rsidRPr="00575A7E" w:rsidRDefault="00D960BC" w:rsidP="00D960BC">
      <w:pPr>
        <w:pStyle w:val="ae"/>
        <w:jc w:val="center"/>
      </w:pPr>
      <w:bookmarkStart w:id="86" w:name="_Toc67396696"/>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6</w:t>
      </w:r>
      <w:r w:rsidR="0096217C">
        <w:rPr>
          <w:noProof/>
        </w:rPr>
        <w:fldChar w:fldCharType="end"/>
      </w:r>
      <w:r w:rsidR="007B2C4B" w:rsidRPr="00575A7E">
        <w:t xml:space="preserve"> Ληξιπρόθεσμες υποχρεώσεις Γενικής Κυβέρνησης, σε εκατ. ευρώ</w:t>
      </w:r>
      <w:bookmarkEnd w:id="86"/>
    </w:p>
    <w:p w14:paraId="79C96BB7" w14:textId="77777777" w:rsidR="005C72BF" w:rsidRPr="00575A7E" w:rsidRDefault="00F85EE4" w:rsidP="003B1BE9">
      <w:pPr>
        <w:spacing w:after="0" w:line="276" w:lineRule="auto"/>
        <w:jc w:val="center"/>
        <w:rPr>
          <w:rFonts w:ascii="Calibri" w:eastAsia="Calibri" w:hAnsi="Calibri" w:cs="Times New Roman"/>
          <w:color w:val="595959"/>
          <w:lang w:val="en-US"/>
        </w:rPr>
      </w:pPr>
      <w:r w:rsidRPr="00575A7E">
        <w:rPr>
          <w:noProof/>
          <w:lang w:eastAsia="el-GR"/>
        </w:rPr>
        <w:drawing>
          <wp:inline distT="0" distB="0" distL="0" distR="0" wp14:anchorId="0DF18419" wp14:editId="0565618B">
            <wp:extent cx="5274310" cy="323850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4310" cy="3238500"/>
                    </a:xfrm>
                    <a:prstGeom prst="rect">
                      <a:avLst/>
                    </a:prstGeom>
                    <a:noFill/>
                    <a:ln>
                      <a:noFill/>
                    </a:ln>
                  </pic:spPr>
                </pic:pic>
              </a:graphicData>
            </a:graphic>
          </wp:inline>
        </w:drawing>
      </w:r>
    </w:p>
    <w:p w14:paraId="3F363368" w14:textId="77777777" w:rsidR="00E834CA" w:rsidRPr="00575A7E" w:rsidRDefault="00E834CA" w:rsidP="003B1BE9">
      <w:pPr>
        <w:spacing w:after="0" w:line="276" w:lineRule="auto"/>
        <w:jc w:val="both"/>
        <w:rPr>
          <w:rFonts w:ascii="Calibri" w:eastAsia="Calibri" w:hAnsi="Calibri" w:cs="Times New Roman"/>
          <w:color w:val="595959"/>
          <w:lang w:val="en-US"/>
        </w:rPr>
      </w:pPr>
    </w:p>
    <w:p w14:paraId="1D5EF43A" w14:textId="77777777" w:rsidR="005173B8" w:rsidRPr="00575A7E" w:rsidRDefault="00E834CA" w:rsidP="003B1BE9">
      <w:pPr>
        <w:spacing w:after="0" w:line="276" w:lineRule="auto"/>
        <w:jc w:val="both"/>
        <w:rPr>
          <w:rFonts w:ascii="Calibri" w:eastAsia="Calibri" w:hAnsi="Calibri" w:cs="Times New Roman"/>
        </w:rPr>
      </w:pPr>
      <w:r w:rsidRPr="00575A7E">
        <w:rPr>
          <w:rFonts w:ascii="Calibri" w:eastAsia="Calibri" w:hAnsi="Calibri" w:cs="Times New Roman"/>
          <w:color w:val="595959"/>
        </w:rPr>
        <w:t xml:space="preserve">Τον </w:t>
      </w:r>
      <w:r w:rsidR="0081203F" w:rsidRPr="00575A7E">
        <w:rPr>
          <w:rFonts w:ascii="Calibri" w:eastAsia="Calibri" w:hAnsi="Calibri" w:cs="Times New Roman"/>
          <w:color w:val="595959"/>
        </w:rPr>
        <w:t>Ιανουάριο</w:t>
      </w:r>
      <w:r w:rsidRPr="00575A7E">
        <w:rPr>
          <w:rFonts w:ascii="Calibri" w:eastAsia="Calibri" w:hAnsi="Calibri" w:cs="Times New Roman"/>
          <w:color w:val="595959"/>
        </w:rPr>
        <w:t xml:space="preserve"> του 20</w:t>
      </w:r>
      <w:r w:rsidR="003C3FAA" w:rsidRPr="00575A7E">
        <w:rPr>
          <w:rFonts w:ascii="Calibri" w:eastAsia="Calibri" w:hAnsi="Calibri" w:cs="Times New Roman"/>
          <w:color w:val="595959"/>
        </w:rPr>
        <w:t>2</w:t>
      </w:r>
      <w:r w:rsidR="0081203F" w:rsidRPr="00575A7E">
        <w:rPr>
          <w:rFonts w:ascii="Calibri" w:eastAsia="Calibri" w:hAnsi="Calibri" w:cs="Times New Roman"/>
          <w:color w:val="595959"/>
        </w:rPr>
        <w:t>1</w:t>
      </w:r>
      <w:r w:rsidRPr="00575A7E">
        <w:rPr>
          <w:rFonts w:ascii="Calibri" w:eastAsia="Calibri" w:hAnsi="Calibri" w:cs="Times New Roman"/>
          <w:color w:val="595959"/>
        </w:rPr>
        <w:t xml:space="preserve"> καταγράφηκε </w:t>
      </w:r>
      <w:r w:rsidR="0081203F" w:rsidRPr="00575A7E">
        <w:rPr>
          <w:rFonts w:ascii="Calibri" w:eastAsia="Calibri" w:hAnsi="Calibri" w:cs="Times New Roman"/>
          <w:color w:val="595959"/>
        </w:rPr>
        <w:t>μείωση</w:t>
      </w:r>
      <w:r w:rsidRPr="00575A7E">
        <w:rPr>
          <w:rFonts w:ascii="Calibri" w:eastAsia="Calibri" w:hAnsi="Calibri" w:cs="Times New Roman"/>
          <w:color w:val="595959"/>
        </w:rPr>
        <w:t xml:space="preserve"> των συνολικών ληξιπρόθεσμων υποχρεώσεων του Δημοσίου κατά </w:t>
      </w:r>
      <w:r w:rsidR="00A01815" w:rsidRPr="00575A7E">
        <w:rPr>
          <w:rFonts w:ascii="Calibri" w:eastAsia="Calibri" w:hAnsi="Calibri" w:cs="Times New Roman"/>
          <w:color w:val="595959"/>
        </w:rPr>
        <w:t>1</w:t>
      </w:r>
      <w:r w:rsidR="0081203F" w:rsidRPr="00575A7E">
        <w:rPr>
          <w:rFonts w:ascii="Calibri" w:eastAsia="Calibri" w:hAnsi="Calibri" w:cs="Times New Roman"/>
          <w:color w:val="595959"/>
        </w:rPr>
        <w:t>20</w:t>
      </w:r>
      <w:r w:rsidR="00A01815" w:rsidRPr="00575A7E">
        <w:rPr>
          <w:rFonts w:ascii="Calibri" w:eastAsia="Calibri" w:hAnsi="Calibri" w:cs="Times New Roman"/>
          <w:color w:val="595959"/>
        </w:rPr>
        <w:t xml:space="preserve"> </w:t>
      </w:r>
      <w:r w:rsidRPr="00575A7E">
        <w:rPr>
          <w:rFonts w:ascii="Calibri" w:eastAsia="Calibri" w:hAnsi="Calibri" w:cs="Times New Roman"/>
          <w:color w:val="595959"/>
        </w:rPr>
        <w:t xml:space="preserve">εκατ. ευρώ σε σύγκριση με τον </w:t>
      </w:r>
      <w:r w:rsidR="0081203F" w:rsidRPr="00575A7E">
        <w:rPr>
          <w:rFonts w:ascii="Calibri" w:eastAsia="Calibri" w:hAnsi="Calibri" w:cs="Times New Roman"/>
          <w:color w:val="595959"/>
        </w:rPr>
        <w:t>Ιανουάριο</w:t>
      </w:r>
      <w:r w:rsidRPr="00575A7E">
        <w:rPr>
          <w:rFonts w:ascii="Calibri" w:eastAsia="Calibri" w:hAnsi="Calibri" w:cs="Times New Roman"/>
          <w:color w:val="595959"/>
        </w:rPr>
        <w:t xml:space="preserve"> του 20</w:t>
      </w:r>
      <w:r w:rsidR="0081203F" w:rsidRPr="00575A7E">
        <w:rPr>
          <w:rFonts w:ascii="Calibri" w:eastAsia="Calibri" w:hAnsi="Calibri" w:cs="Times New Roman"/>
          <w:color w:val="595959"/>
        </w:rPr>
        <w:t>2</w:t>
      </w:r>
      <w:r w:rsidR="003B1BE9">
        <w:rPr>
          <w:rFonts w:ascii="Calibri" w:eastAsia="Calibri" w:hAnsi="Calibri" w:cs="Times New Roman"/>
          <w:color w:val="595959"/>
        </w:rPr>
        <w:t>0</w:t>
      </w:r>
      <w:r w:rsidRPr="00575A7E">
        <w:rPr>
          <w:rFonts w:ascii="Calibri" w:eastAsia="Calibri" w:hAnsi="Calibri" w:cs="Times New Roman"/>
          <w:color w:val="595959"/>
        </w:rPr>
        <w:t xml:space="preserve">. Ειδικότερα, οι ληξιπρόθεσμες οφειλές </w:t>
      </w:r>
      <w:r w:rsidR="0081203F" w:rsidRPr="00575A7E">
        <w:rPr>
          <w:rFonts w:ascii="Calibri" w:eastAsia="Calibri" w:hAnsi="Calibri" w:cs="Times New Roman"/>
          <w:color w:val="595959"/>
        </w:rPr>
        <w:t>μειώθηκα</w:t>
      </w:r>
      <w:r w:rsidRPr="00575A7E">
        <w:rPr>
          <w:rFonts w:ascii="Calibri" w:eastAsia="Calibri" w:hAnsi="Calibri" w:cs="Times New Roman"/>
          <w:color w:val="595959"/>
        </w:rPr>
        <w:t xml:space="preserve">ν κατά </w:t>
      </w:r>
      <w:r w:rsidR="0081203F" w:rsidRPr="00575A7E">
        <w:rPr>
          <w:rFonts w:ascii="Calibri" w:eastAsia="Calibri" w:hAnsi="Calibri" w:cs="Times New Roman"/>
          <w:color w:val="595959"/>
        </w:rPr>
        <w:t>85</w:t>
      </w:r>
      <w:r w:rsidR="00A01815" w:rsidRPr="00575A7E">
        <w:rPr>
          <w:rFonts w:ascii="Calibri" w:eastAsia="Calibri" w:hAnsi="Calibri" w:cs="Times New Roman"/>
          <w:color w:val="595959"/>
        </w:rPr>
        <w:t xml:space="preserve"> </w:t>
      </w:r>
      <w:r w:rsidRPr="00575A7E">
        <w:rPr>
          <w:rFonts w:ascii="Calibri" w:eastAsia="Calibri" w:hAnsi="Calibri" w:cs="Times New Roman"/>
          <w:color w:val="595959"/>
        </w:rPr>
        <w:t>εκατ. ευρώ φτάνοντας τα 1.</w:t>
      </w:r>
      <w:r w:rsidR="0081203F" w:rsidRPr="00575A7E">
        <w:rPr>
          <w:rFonts w:ascii="Calibri" w:eastAsia="Calibri" w:hAnsi="Calibri" w:cs="Times New Roman"/>
          <w:color w:val="595959"/>
        </w:rPr>
        <w:t>351</w:t>
      </w:r>
      <w:r w:rsidR="00A01815" w:rsidRPr="00575A7E">
        <w:rPr>
          <w:rFonts w:ascii="Calibri" w:eastAsia="Calibri" w:hAnsi="Calibri" w:cs="Times New Roman"/>
          <w:color w:val="595959"/>
        </w:rPr>
        <w:t xml:space="preserve"> </w:t>
      </w:r>
      <w:r w:rsidRPr="00575A7E">
        <w:rPr>
          <w:rFonts w:ascii="Calibri" w:eastAsia="Calibri" w:hAnsi="Calibri" w:cs="Times New Roman"/>
          <w:color w:val="595959"/>
        </w:rPr>
        <w:t>εκατ.</w:t>
      </w:r>
      <w:r w:rsidRPr="00575A7E">
        <w:rPr>
          <w:rFonts w:ascii="Calibri" w:eastAsia="Calibri" w:hAnsi="Calibri" w:cs="Times New Roman"/>
        </w:rPr>
        <w:t xml:space="preserve"> </w:t>
      </w:r>
      <w:r w:rsidRPr="00575A7E">
        <w:rPr>
          <w:rFonts w:ascii="Calibri" w:eastAsia="Calibri" w:hAnsi="Calibri" w:cs="Times New Roman"/>
          <w:color w:val="595959"/>
        </w:rPr>
        <w:t xml:space="preserve">ευρώ και οι εκκρεμείς επιστροφές φόρων </w:t>
      </w:r>
      <w:r w:rsidR="0081203F" w:rsidRPr="00575A7E">
        <w:rPr>
          <w:rFonts w:ascii="Calibri" w:eastAsia="Calibri" w:hAnsi="Calibri" w:cs="Times New Roman"/>
          <w:color w:val="595959"/>
        </w:rPr>
        <w:t>μειώθηκαν</w:t>
      </w:r>
      <w:r w:rsidRPr="00575A7E">
        <w:rPr>
          <w:rFonts w:ascii="Calibri" w:eastAsia="Calibri" w:hAnsi="Calibri" w:cs="Times New Roman"/>
          <w:color w:val="595959"/>
        </w:rPr>
        <w:t xml:space="preserve"> κατά </w:t>
      </w:r>
      <w:r w:rsidR="0081203F" w:rsidRPr="00575A7E">
        <w:rPr>
          <w:rFonts w:ascii="Calibri" w:eastAsia="Calibri" w:hAnsi="Calibri" w:cs="Times New Roman"/>
          <w:color w:val="595959"/>
        </w:rPr>
        <w:t>35</w:t>
      </w:r>
      <w:r w:rsidR="00A01815" w:rsidRPr="00575A7E">
        <w:rPr>
          <w:rFonts w:ascii="Calibri" w:eastAsia="Calibri" w:hAnsi="Calibri" w:cs="Times New Roman"/>
          <w:color w:val="595959"/>
        </w:rPr>
        <w:t xml:space="preserve"> </w:t>
      </w:r>
      <w:r w:rsidRPr="00575A7E">
        <w:rPr>
          <w:rFonts w:ascii="Calibri" w:eastAsia="Calibri" w:hAnsi="Calibri" w:cs="Times New Roman"/>
          <w:color w:val="595959"/>
        </w:rPr>
        <w:t xml:space="preserve">εκατ. ευρώ φτάνοντας τα </w:t>
      </w:r>
      <w:r w:rsidR="0081203F" w:rsidRPr="00575A7E">
        <w:rPr>
          <w:rFonts w:ascii="Calibri" w:eastAsia="Calibri" w:hAnsi="Calibri" w:cs="Times New Roman"/>
          <w:color w:val="595959"/>
        </w:rPr>
        <w:t>577</w:t>
      </w:r>
      <w:r w:rsidRPr="00575A7E">
        <w:rPr>
          <w:rFonts w:ascii="Calibri" w:eastAsia="Calibri" w:hAnsi="Calibri" w:cs="Times New Roman"/>
          <w:color w:val="595959"/>
        </w:rPr>
        <w:t xml:space="preserve"> εκατ. ευρώ.</w:t>
      </w:r>
      <w:r w:rsidR="00991762" w:rsidRPr="00575A7E">
        <w:rPr>
          <w:rFonts w:ascii="Calibri" w:eastAsia="Calibri" w:hAnsi="Calibri" w:cs="Times New Roman"/>
          <w:color w:val="595959"/>
        </w:rPr>
        <w:t xml:space="preserve"> </w:t>
      </w:r>
    </w:p>
    <w:p w14:paraId="5ECC0792" w14:textId="77777777" w:rsidR="00FA34B5" w:rsidRPr="00575A7E" w:rsidRDefault="00FA34B5" w:rsidP="003B1BE9">
      <w:pPr>
        <w:spacing w:after="0" w:line="276" w:lineRule="auto"/>
        <w:jc w:val="both"/>
        <w:rPr>
          <w:rFonts w:ascii="Calibri" w:eastAsia="Calibri" w:hAnsi="Calibri" w:cs="Times New Roman"/>
        </w:rPr>
      </w:pPr>
    </w:p>
    <w:p w14:paraId="544B5636" w14:textId="77777777" w:rsidR="00824F7F" w:rsidRPr="00575A7E" w:rsidRDefault="00824F7F" w:rsidP="003B1BE9">
      <w:pPr>
        <w:pStyle w:val="3"/>
        <w:spacing w:before="0" w:line="276" w:lineRule="auto"/>
        <w:jc w:val="both"/>
        <w:rPr>
          <w:rFonts w:eastAsia="Times New Roman"/>
        </w:rPr>
      </w:pPr>
      <w:bookmarkStart w:id="87" w:name="_Toc33093582"/>
      <w:bookmarkStart w:id="88" w:name="_Toc16003952"/>
      <w:bookmarkStart w:id="89" w:name="_Toc1387145"/>
      <w:bookmarkStart w:id="90" w:name="_Toc9685040"/>
      <w:bookmarkStart w:id="91" w:name="_Toc519523474"/>
      <w:bookmarkStart w:id="92" w:name="_Toc521435850"/>
      <w:bookmarkStart w:id="93" w:name="_Toc529792803"/>
      <w:bookmarkStart w:id="94" w:name="_Toc9685042"/>
      <w:bookmarkStart w:id="95" w:name="_Toc23936598"/>
      <w:bookmarkStart w:id="96" w:name="_Toc33093584"/>
      <w:bookmarkStart w:id="97" w:name="_Toc8222130"/>
      <w:bookmarkStart w:id="98" w:name="_Toc50131957"/>
      <w:bookmarkStart w:id="99" w:name="_Toc40706001"/>
      <w:bookmarkStart w:id="100" w:name="_Toc9685044"/>
      <w:bookmarkStart w:id="101" w:name="_Toc513407049"/>
      <w:bookmarkStart w:id="102" w:name="_Toc67401913"/>
      <w:r w:rsidRPr="00575A7E">
        <w:rPr>
          <w:rFonts w:eastAsia="Times New Roman"/>
        </w:rPr>
        <w:t>Ληξιπρόθεσμες υποχρεώσεις φορολογούμενων</w:t>
      </w:r>
      <w:bookmarkEnd w:id="87"/>
      <w:bookmarkEnd w:id="102"/>
    </w:p>
    <w:p w14:paraId="075AB3B4" w14:textId="77777777" w:rsidR="00824F7F" w:rsidRPr="00575A7E" w:rsidRDefault="00824F7F" w:rsidP="003B1BE9">
      <w:pPr>
        <w:spacing w:after="0" w:line="276" w:lineRule="auto"/>
        <w:jc w:val="both"/>
      </w:pPr>
    </w:p>
    <w:p w14:paraId="3DACAD33" w14:textId="472FE173" w:rsidR="00824F7F" w:rsidRPr="00575A7E" w:rsidRDefault="00A57564" w:rsidP="003B1BE9">
      <w:pPr>
        <w:spacing w:after="0" w:line="276" w:lineRule="auto"/>
        <w:jc w:val="both"/>
        <w:rPr>
          <w:rFonts w:ascii="Calibri" w:eastAsia="Calibri" w:hAnsi="Calibri" w:cs="Times New Roman"/>
          <w:color w:val="595959"/>
        </w:rPr>
      </w:pPr>
      <w:r>
        <w:rPr>
          <w:rFonts w:ascii="Calibri" w:eastAsia="Calibri" w:hAnsi="Calibri" w:cs="Times New Roman"/>
          <w:color w:val="595959"/>
        </w:rPr>
        <w:t>Τ</w:t>
      </w:r>
      <w:r w:rsidR="00824F7F" w:rsidRPr="00575A7E">
        <w:rPr>
          <w:rFonts w:ascii="Calibri" w:eastAsia="Calibri" w:hAnsi="Calibri" w:cs="Times New Roman"/>
          <w:color w:val="595959"/>
        </w:rPr>
        <w:t>ο συνολικό ληξιπρόθεσμο υπόλοιπο</w:t>
      </w:r>
      <w:r w:rsidR="00824F7F" w:rsidRPr="00575A7E">
        <w:rPr>
          <w:rFonts w:ascii="Calibri" w:eastAsia="Calibri" w:hAnsi="Calibri" w:cs="Times New Roman"/>
          <w:color w:val="595959"/>
          <w:vertAlign w:val="superscript"/>
        </w:rPr>
        <w:footnoteReference w:id="3"/>
      </w:r>
      <w:r w:rsidR="00824F7F" w:rsidRPr="00575A7E">
        <w:rPr>
          <w:rFonts w:ascii="Calibri" w:eastAsia="Calibri" w:hAnsi="Calibri" w:cs="Times New Roman"/>
          <w:color w:val="595959"/>
        </w:rPr>
        <w:t xml:space="preserve"> στο τέλος του τέταρτου τριμήνου του 2020, σύμφωνα με τα στοιχεία της ΑΑΔΕ</w:t>
      </w:r>
      <w:r w:rsidR="00824F7F" w:rsidRPr="00575A7E">
        <w:rPr>
          <w:rStyle w:val="a5"/>
          <w:rFonts w:ascii="Calibri" w:eastAsia="Calibri" w:hAnsi="Calibri" w:cs="Times New Roman"/>
          <w:color w:val="595959"/>
        </w:rPr>
        <w:footnoteReference w:id="4"/>
      </w:r>
      <w:r w:rsidR="00824F7F" w:rsidRPr="00575A7E">
        <w:rPr>
          <w:rFonts w:ascii="Calibri" w:eastAsia="Calibri" w:hAnsi="Calibri" w:cs="Times New Roman"/>
          <w:color w:val="595959"/>
        </w:rPr>
        <w:t xml:space="preserve">, διαμορφώθηκε στα 108,1 δις ευρώ, αυξημένο κατά 2,5 δις ευρώ σε σχέση με το τέταρτο τρίμηνο του 2019. </w:t>
      </w:r>
      <w:r w:rsidR="006F72F8" w:rsidRPr="00575A7E">
        <w:rPr>
          <w:rFonts w:ascii="Calibri" w:eastAsia="Calibri" w:hAnsi="Calibri" w:cs="Times New Roman"/>
          <w:color w:val="595959"/>
        </w:rPr>
        <w:t>Σε τριμηνιαία βάση</w:t>
      </w:r>
      <w:r w:rsidR="00824F7F" w:rsidRPr="00575A7E">
        <w:rPr>
          <w:rFonts w:ascii="Calibri" w:eastAsia="Calibri" w:hAnsi="Calibri" w:cs="Times New Roman"/>
          <w:color w:val="595959"/>
        </w:rPr>
        <w:t xml:space="preserve">, το συνολικό ληξιπρόθεσμο υπόλοιπο παρουσιάζει αύξηση κατά 1,9 δις ευρώ σε σύγκριση με το υπόλοιπο όπως </w:t>
      </w:r>
      <w:r w:rsidR="00824F7F" w:rsidRPr="00575A7E">
        <w:rPr>
          <w:rFonts w:ascii="Calibri" w:eastAsia="Calibri" w:hAnsi="Calibri" w:cs="Times New Roman"/>
          <w:color w:val="595959"/>
        </w:rPr>
        <w:lastRenderedPageBreak/>
        <w:t>διαμορφώθηκε μέχρι το τέλος του τρίτου τρίμηνο του 2020 (περιλαμβάνοντας τις βεβαιώσεις οφειλών μέχρι τις 30/9/2020). Η αύξηση αυτή οφείλεται στο γεγονός ότι εντός του τέταρτου τριμήνου οι εκροές από το συνολικό ληξιπρόθεσμο υπόλοιπο, δηλαδή οι εισπράξεις και διαγραφές ληξιπρόθεσμων οφειλών (1,5 δις ευρώ), ήταν λιγότερες από τις εισροές, δηλαδή τη δημιουργία νέων ληξιπρόθεσμων οφειλών</w:t>
      </w:r>
      <w:r w:rsidR="00824F7F" w:rsidRPr="00575A7E">
        <w:rPr>
          <w:rFonts w:ascii="Calibri" w:eastAsia="Calibri" w:hAnsi="Calibri" w:cs="Times New Roman"/>
          <w:color w:val="595959"/>
          <w:vertAlign w:val="superscript"/>
        </w:rPr>
        <w:footnoteReference w:id="5"/>
      </w:r>
      <w:r w:rsidR="00824F7F" w:rsidRPr="00575A7E">
        <w:rPr>
          <w:rFonts w:ascii="Calibri" w:eastAsia="Calibri" w:hAnsi="Calibri" w:cs="Times New Roman"/>
          <w:color w:val="595959"/>
        </w:rPr>
        <w:t xml:space="preserve"> (2,</w:t>
      </w:r>
      <w:r w:rsidR="008F7F33">
        <w:rPr>
          <w:rFonts w:ascii="Calibri" w:eastAsia="Calibri" w:hAnsi="Calibri" w:cs="Times New Roman"/>
          <w:color w:val="595959"/>
        </w:rPr>
        <w:t>8</w:t>
      </w:r>
      <w:r w:rsidR="00824F7F" w:rsidRPr="00575A7E">
        <w:rPr>
          <w:rFonts w:ascii="Calibri" w:eastAsia="Calibri" w:hAnsi="Calibri" w:cs="Times New Roman"/>
          <w:color w:val="595959"/>
        </w:rPr>
        <w:t xml:space="preserve"> δις ευρώ, λαμβάνοντας υπόψη και το ληξιπρόθεσμο υπόλοιπο του τρίτου τριμήνου που βεβαιώθηκε κατά το διάστημα 1/10/2020 με 31/12/2020). </w:t>
      </w:r>
    </w:p>
    <w:p w14:paraId="247D48D5" w14:textId="77777777" w:rsidR="00824F7F" w:rsidRPr="00575A7E" w:rsidRDefault="00824F7F" w:rsidP="003B1BE9">
      <w:pPr>
        <w:pStyle w:val="ae"/>
        <w:keepNext/>
        <w:spacing w:after="0" w:line="276" w:lineRule="auto"/>
        <w:rPr>
          <w:i w:val="0"/>
          <w:iCs w:val="0"/>
          <w:sz w:val="22"/>
          <w:szCs w:val="22"/>
        </w:rPr>
      </w:pPr>
    </w:p>
    <w:p w14:paraId="755FDBE8" w14:textId="7A2C35F5" w:rsidR="00DB31EE" w:rsidRPr="00575A7E" w:rsidRDefault="00D960BC" w:rsidP="00D960BC">
      <w:pPr>
        <w:pStyle w:val="ae"/>
        <w:jc w:val="center"/>
      </w:pPr>
      <w:bookmarkStart w:id="103" w:name="_Toc67396697"/>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7</w:t>
      </w:r>
      <w:r w:rsidR="0096217C">
        <w:rPr>
          <w:noProof/>
        </w:rPr>
        <w:fldChar w:fldCharType="end"/>
      </w:r>
      <w:r w:rsidR="00DB31EE" w:rsidRPr="00575A7E">
        <w:t xml:space="preserve"> Ληξιπρόθεσμες υποχρεώσεις φορολογούμενων, σε εκατ. ευρώ</w:t>
      </w:r>
      <w:bookmarkEnd w:id="103"/>
    </w:p>
    <w:p w14:paraId="79844CE3" w14:textId="77777777" w:rsidR="00824F7F" w:rsidRPr="00575A7E" w:rsidRDefault="00824F7F" w:rsidP="003B1BE9">
      <w:pPr>
        <w:spacing w:line="276" w:lineRule="auto"/>
        <w:jc w:val="center"/>
      </w:pPr>
      <w:r w:rsidRPr="00575A7E">
        <w:rPr>
          <w:noProof/>
          <w:lang w:eastAsia="el-GR"/>
        </w:rPr>
        <w:drawing>
          <wp:inline distT="0" distB="0" distL="0" distR="0" wp14:anchorId="1D5BB64A" wp14:editId="626CEF7A">
            <wp:extent cx="3875688" cy="2493264"/>
            <wp:effectExtent l="0" t="0" r="0" b="0"/>
            <wp:docPr id="5" name="Εικόνα 5" descr="C:\Users\e.tamviskou\Downloads\tax-arrears-q4-20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amviskou\Downloads\tax-arrears-q4-2020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87514" cy="2500872"/>
                    </a:xfrm>
                    <a:prstGeom prst="rect">
                      <a:avLst/>
                    </a:prstGeom>
                    <a:noFill/>
                    <a:ln>
                      <a:noFill/>
                    </a:ln>
                  </pic:spPr>
                </pic:pic>
              </a:graphicData>
            </a:graphic>
          </wp:inline>
        </w:drawing>
      </w:r>
    </w:p>
    <w:p w14:paraId="6386992C" w14:textId="77777777" w:rsidR="00824F7F" w:rsidRPr="00575A7E" w:rsidRDefault="00824F7F" w:rsidP="003B1BE9">
      <w:pPr>
        <w:spacing w:after="0" w:line="276" w:lineRule="auto"/>
        <w:jc w:val="center"/>
        <w:rPr>
          <w:rFonts w:ascii="Calibri" w:eastAsia="Calibri" w:hAnsi="Calibri" w:cs="Times New Roman"/>
          <w:color w:val="595959"/>
        </w:rPr>
      </w:pPr>
    </w:p>
    <w:p w14:paraId="3DAF1ECD" w14:textId="77777777" w:rsidR="00824F7F" w:rsidRPr="00575A7E" w:rsidRDefault="00824F7F" w:rsidP="003B1BE9">
      <w:pPr>
        <w:spacing w:line="276" w:lineRule="auto"/>
        <w:jc w:val="both"/>
        <w:rPr>
          <w:color w:val="595959"/>
        </w:rPr>
      </w:pPr>
      <w:r w:rsidRPr="00575A7E">
        <w:rPr>
          <w:rFonts w:ascii="Calibri" w:eastAsia="Calibri" w:hAnsi="Calibri" w:cs="Times New Roman"/>
          <w:color w:val="595959"/>
        </w:rPr>
        <w:t xml:space="preserve">Ωστόσο μείωση σημείωσαν τόσο το νέο ληξιπρόθεσμο υπόλοιπο, όσο και οι εισπράξεις επί των συνολικών ληξιπρόθεσμων οφειλών. Ειδικότερα τα νέα ληξιπρόθεσμα της περιόδου </w:t>
      </w:r>
      <w:r w:rsidRPr="00575A7E">
        <w:rPr>
          <w:color w:val="595959"/>
        </w:rPr>
        <w:t>1/12/2019-3</w:t>
      </w:r>
      <w:r w:rsidR="006B7DD4" w:rsidRPr="00575A7E">
        <w:rPr>
          <w:color w:val="595959"/>
        </w:rPr>
        <w:t>0</w:t>
      </w:r>
      <w:r w:rsidRPr="00575A7E">
        <w:rPr>
          <w:color w:val="595959"/>
        </w:rPr>
        <w:t>/1</w:t>
      </w:r>
      <w:r w:rsidR="006B7DD4" w:rsidRPr="00575A7E">
        <w:rPr>
          <w:color w:val="595959"/>
        </w:rPr>
        <w:t>1</w:t>
      </w:r>
      <w:r w:rsidRPr="00575A7E">
        <w:rPr>
          <w:color w:val="595959"/>
        </w:rPr>
        <w:t>/2020 ανέρχονται σε 7,1 δις ευρώ, παρουσιάζοντας μείωση σε ετήσια βάση κατά 888,9 εκατ. ευρώ, ενώ οι ετήσιες εισπράξεις επί των συνολικών ληξιπρόθεσμων οφειλών μειώθηκαν το 2020 κατά 1,2 δις ευρώ σε σχέση με το προηγούμενο έτος.</w:t>
      </w:r>
    </w:p>
    <w:p w14:paraId="023D74F2" w14:textId="77777777" w:rsidR="00824F7F" w:rsidRPr="00575A7E" w:rsidRDefault="00824F7F" w:rsidP="003B1BE9">
      <w:pPr>
        <w:spacing w:after="0" w:line="276" w:lineRule="auto"/>
        <w:jc w:val="both"/>
        <w:rPr>
          <w:rFonts w:ascii="Calibri" w:eastAsia="Calibri" w:hAnsi="Calibri" w:cs="Times New Roman"/>
          <w:color w:val="595959"/>
        </w:rPr>
      </w:pPr>
      <w:r w:rsidRPr="00575A7E">
        <w:rPr>
          <w:color w:val="595959"/>
        </w:rPr>
        <w:t>Αξίζει να σημειωθεί ότι η μείωση των δύο ανωτέρω μεγεθών οφείλεται σε μεγάλο βαθμό στην επίδραση των</w:t>
      </w:r>
      <w:r w:rsidRPr="00575A7E">
        <w:rPr>
          <w:rFonts w:ascii="Calibri" w:eastAsia="Calibri" w:hAnsi="Calibri" w:cs="Times New Roman"/>
          <w:color w:val="595959"/>
        </w:rPr>
        <w:t xml:space="preserve"> μέτρων αντιμετώπισης των επιπτώσεων του COVID-19 σε ορισμένους κλάδους οικονομικής δραστηριότητας</w:t>
      </w:r>
      <w:r w:rsidR="005F401B">
        <w:rPr>
          <w:rFonts w:ascii="Calibri" w:eastAsia="Calibri" w:hAnsi="Calibri" w:cs="Times New Roman"/>
          <w:color w:val="595959"/>
        </w:rPr>
        <w:t>,</w:t>
      </w:r>
      <w:r w:rsidRPr="00575A7E">
        <w:rPr>
          <w:rFonts w:ascii="Calibri" w:eastAsia="Calibri" w:hAnsi="Calibri" w:cs="Times New Roman"/>
          <w:color w:val="595959"/>
        </w:rPr>
        <w:t xml:space="preserve"> και ειδικότερα στην παράταση της προθεσμίας καταβολής βεβαιωμένων οφειλών και δόσεων ρυθμίσεων ή διευκολύνσεων τμηματικής </w:t>
      </w:r>
      <w:r w:rsidRPr="00575A7E">
        <w:rPr>
          <w:rFonts w:ascii="Calibri" w:eastAsia="Calibri" w:hAnsi="Calibri" w:cs="Times New Roman"/>
          <w:color w:val="595959"/>
        </w:rPr>
        <w:lastRenderedPageBreak/>
        <w:t xml:space="preserve">καταβολής, καθώς και στην αναστολή της είσπραξης βεβαιωμένων και ληξιπρόθεσμων οφειλών υπό προϋποθέσεις. </w:t>
      </w:r>
    </w:p>
    <w:p w14:paraId="0ABC0C8F" w14:textId="77777777" w:rsidR="00824F7F" w:rsidRPr="00575A7E" w:rsidRDefault="00824F7F" w:rsidP="003B1BE9">
      <w:pPr>
        <w:spacing w:after="0" w:line="276" w:lineRule="auto"/>
        <w:jc w:val="both"/>
        <w:rPr>
          <w:color w:val="595959"/>
        </w:rPr>
      </w:pPr>
    </w:p>
    <w:p w14:paraId="6B3A769B" w14:textId="6275EC50" w:rsidR="00282F0F" w:rsidRPr="00575A7E" w:rsidRDefault="00D960BC" w:rsidP="00D960BC">
      <w:pPr>
        <w:pStyle w:val="ae"/>
        <w:jc w:val="center"/>
      </w:pPr>
      <w:bookmarkStart w:id="104" w:name="_Toc67396698"/>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8</w:t>
      </w:r>
      <w:r w:rsidR="0096217C">
        <w:rPr>
          <w:noProof/>
        </w:rPr>
        <w:fldChar w:fldCharType="end"/>
      </w:r>
      <w:r w:rsidR="00282F0F" w:rsidRPr="00575A7E">
        <w:t xml:space="preserve"> Εισπράξεις-διαγραφές και νέα ληξιπρόθεσμα, σε εκατ. ευρώ</w:t>
      </w:r>
      <w:bookmarkEnd w:id="104"/>
    </w:p>
    <w:p w14:paraId="3CE51308" w14:textId="77777777" w:rsidR="00824F7F" w:rsidRPr="00575A7E" w:rsidRDefault="00824F7F" w:rsidP="003B1BE9">
      <w:pPr>
        <w:spacing w:after="0" w:line="276" w:lineRule="auto"/>
        <w:jc w:val="center"/>
        <w:rPr>
          <w:color w:val="595959"/>
        </w:rPr>
      </w:pPr>
      <w:r w:rsidRPr="00575A7E">
        <w:rPr>
          <w:noProof/>
          <w:color w:val="595959"/>
          <w:lang w:eastAsia="el-GR"/>
        </w:rPr>
        <w:drawing>
          <wp:inline distT="0" distB="0" distL="0" distR="0" wp14:anchorId="082BF6D0" wp14:editId="19A834B9">
            <wp:extent cx="3906374" cy="3023334"/>
            <wp:effectExtent l="0" t="0" r="0" b="0"/>
            <wp:docPr id="7" name="Εικόνα 7" descr="C:\Users\e.tamviskou\Downloads\tax-arrears-q4-20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amviskou\Downloads\tax-arrears-q4-2020 (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18148" cy="3032447"/>
                    </a:xfrm>
                    <a:prstGeom prst="rect">
                      <a:avLst/>
                    </a:prstGeom>
                    <a:noFill/>
                    <a:ln>
                      <a:noFill/>
                    </a:ln>
                  </pic:spPr>
                </pic:pic>
              </a:graphicData>
            </a:graphic>
          </wp:inline>
        </w:drawing>
      </w:r>
    </w:p>
    <w:p w14:paraId="3B17F8D7" w14:textId="77777777" w:rsidR="00DB31EE" w:rsidRPr="00575A7E" w:rsidRDefault="00DB31EE" w:rsidP="003B1BE9">
      <w:pPr>
        <w:spacing w:after="0" w:line="276" w:lineRule="auto"/>
        <w:jc w:val="center"/>
        <w:rPr>
          <w:color w:val="595959"/>
        </w:rPr>
      </w:pPr>
    </w:p>
    <w:p w14:paraId="21B22F44" w14:textId="77777777" w:rsidR="00824F7F" w:rsidRPr="00575A7E" w:rsidRDefault="00824F7F" w:rsidP="003B1BE9">
      <w:pPr>
        <w:spacing w:line="276" w:lineRule="auto"/>
        <w:jc w:val="both"/>
        <w:rPr>
          <w:color w:val="595959"/>
        </w:rPr>
      </w:pPr>
      <w:r w:rsidRPr="00575A7E">
        <w:rPr>
          <w:color w:val="595959"/>
        </w:rPr>
        <w:t>Αναφορικά με τον συνολικό αριθμό των οφειλετών, στο τέλος του 2020 παρατηρείται σημαντική μείωση κατά 23.691 πρόσωπα (φυσικά και νομικά) σε σχέση με την αντίστοιχη περίοδο του 2019 με αποτέλεσμα να διαμορφώνεται στους 4.045.217</w:t>
      </w:r>
      <w:r w:rsidRPr="00575A7E">
        <w:rPr>
          <w:rFonts w:ascii="Calibri" w:eastAsia="Times New Roman" w:hAnsi="Calibri" w:cs="Times New Roman"/>
          <w:b/>
          <w:bCs/>
          <w:color w:val="FF0000"/>
          <w:lang w:eastAsia="el-GR"/>
        </w:rPr>
        <w:t xml:space="preserve"> </w:t>
      </w:r>
      <w:r w:rsidRPr="00575A7E">
        <w:rPr>
          <w:color w:val="595959"/>
        </w:rPr>
        <w:t>οφειλέτες. Η συγκεκριμένη μεταβολή ερμηνεύεται εν μέρει από τον μεγάλο αριθμό των χρεών σε αναστολή είσπραξης στο πλαίσιο των μέτρων αντιμετώπισης των επιπτώσεων του COVID-19, καθώς και από τη διαγραφή οφειλών από την ΑΑΔΕ σε 118.906 οφειλέτες με χρέη ύψους έως και 10 ευρώ κατ' εφαρμογή των διατάξεων του άρθρου 44 του ν. 4646/2019.</w:t>
      </w:r>
    </w:p>
    <w:p w14:paraId="4BCC1167" w14:textId="77777777" w:rsidR="00824F7F" w:rsidRPr="00575A7E" w:rsidRDefault="00824F7F" w:rsidP="003B1BE9">
      <w:pPr>
        <w:spacing w:line="276" w:lineRule="auto"/>
        <w:jc w:val="both"/>
        <w:rPr>
          <w:color w:val="595959"/>
        </w:rPr>
      </w:pPr>
      <w:r w:rsidRPr="00575A7E">
        <w:rPr>
          <w:color w:val="595959"/>
        </w:rPr>
        <w:t>Ειδικότερα, ο αριθμός των οφειλετών με χρέη έως 10 ευρώ μειώθηκε σε ετήσια βάση κατά 139.814 οφειλέτες, ενώ στην κατηγορία οφειλής μικρότερη του 1 ευρώ το πλήθος των οφειλετών μειώθηκε κατά 90.418 πρόσωπα, με τον συνολικό αριθμό των οφειλετών να διαμορφώνεται σε 266.932. Πτώση του αριθμού των οφειλετών παρατηρείται επίσης στο εύρος οφειλής μεταξύ 500 και 10.000 ευρώ (κατά 19.710 οφειλέτες), η οποία συνοδεύεται από μείωση του ληξιπρόθεσμου υπολοίπου κατά 31,2 εκατ. ευρώ.</w:t>
      </w:r>
    </w:p>
    <w:p w14:paraId="6EC4841E" w14:textId="77777777" w:rsidR="00824F7F" w:rsidRPr="00575A7E" w:rsidRDefault="00824F7F" w:rsidP="003B1BE9">
      <w:pPr>
        <w:spacing w:after="12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Αντίθετα, στις κατηγορίες οφειλής άνω των 10.000 ευρώ διαπιστώνεται αύξηση τόσο στο πλήθος των οφειλετών, όσο και στο ληξιπρόθεσμο υπόλοιπο. Σημειώνεται ότι το μεγαλύτερο μέρος της αύξησης του συνολικού ληξιπρόθεσμου υπολοίπου σε σχέση με την αντίστοιχη περίοδο του 2019 πηγάζει από τους οφειλέτες με ύψος οφειλής άνω του 1 εκατ. ευρώ (αύξηση του ληξιπρόθεσμου υπολοίπου σε αυτήν την κατηγορία κατά 2,1 δις ευρώ), ο αριθμός των οποίων σημείωσε αύξηση κατά 205 πρόσωπα. </w:t>
      </w:r>
    </w:p>
    <w:p w14:paraId="040D5BBA" w14:textId="77777777" w:rsidR="00824F7F" w:rsidRPr="00575A7E" w:rsidRDefault="00824F7F" w:rsidP="003B1BE9">
      <w:p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Στην ανωτέρω αύξηση του ληξιπρόθεσμου υπολοίπου σημαντική είναι η συνεισφορά των νομικών προσώπων καθώς οι οφειλές που προέρχονται από αυτά αυξήθηκαν κατά 1,4 δις </w:t>
      </w:r>
      <w:r w:rsidRPr="00575A7E">
        <w:rPr>
          <w:rFonts w:ascii="Calibri" w:eastAsia="Calibri" w:hAnsi="Calibri" w:cs="Times New Roman"/>
          <w:color w:val="595959"/>
        </w:rPr>
        <w:lastRenderedPageBreak/>
        <w:t>ευρώ, ενώ το ύψος του ληξιπρόθεσμου υπολοίπου τους σε αυτήν την κατηγορία οφειλής άγγιξε στο τέλος του 2020 τα 62,9 δις ευρώ. Αντίστοιχα το πλήθος των νομικών προσώπων που οφείλουν πάνω από 1 εκατ. ευρώ διαμορφώθηκε στα 5.119, καθώς αυξήθηκε σε ετήσια βάση κατά 132 νομικά πρόσωπα.</w:t>
      </w:r>
    </w:p>
    <w:p w14:paraId="0F84A68C" w14:textId="77777777" w:rsidR="00D74BA5" w:rsidRPr="00575A7E" w:rsidRDefault="00D74BA5" w:rsidP="003B1BE9">
      <w:pPr>
        <w:spacing w:after="0" w:line="276" w:lineRule="auto"/>
        <w:jc w:val="both"/>
        <w:rPr>
          <w:rFonts w:ascii="Calibri" w:eastAsia="Calibri" w:hAnsi="Calibri" w:cs="Times New Roman"/>
          <w:color w:val="595959"/>
        </w:rPr>
      </w:pPr>
    </w:p>
    <w:p w14:paraId="6EF5F045" w14:textId="60E3BF37" w:rsidR="00D74BA5" w:rsidRPr="00575A7E" w:rsidRDefault="00D960BC" w:rsidP="00D960BC">
      <w:pPr>
        <w:pStyle w:val="ae"/>
        <w:jc w:val="center"/>
      </w:pPr>
      <w:bookmarkStart w:id="105" w:name="_Toc67396683"/>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4</w:t>
      </w:r>
      <w:r w:rsidR="0096217C">
        <w:rPr>
          <w:noProof/>
        </w:rPr>
        <w:fldChar w:fldCharType="end"/>
      </w:r>
      <w:r w:rsidR="00D74BA5" w:rsidRPr="00575A7E">
        <w:t xml:space="preserve"> Κατανομή πλήθους οφειλετών με χρέη προς τη Φορολογική Διοίκηση</w:t>
      </w:r>
      <w:bookmarkEnd w:id="105"/>
    </w:p>
    <w:tbl>
      <w:tblPr>
        <w:tblW w:w="6687" w:type="dxa"/>
        <w:jc w:val="center"/>
        <w:tblLook w:val="04A0" w:firstRow="1" w:lastRow="0" w:firstColumn="1" w:lastColumn="0" w:noHBand="0" w:noVBand="1"/>
      </w:tblPr>
      <w:tblGrid>
        <w:gridCol w:w="1649"/>
        <w:gridCol w:w="1612"/>
        <w:gridCol w:w="1538"/>
        <w:gridCol w:w="1888"/>
      </w:tblGrid>
      <w:tr w:rsidR="00824F7F" w:rsidRPr="00575A7E" w14:paraId="7E1C5EC6" w14:textId="77777777" w:rsidTr="009142DF">
        <w:trPr>
          <w:trHeight w:val="873"/>
          <w:jc w:val="center"/>
        </w:trPr>
        <w:tc>
          <w:tcPr>
            <w:tcW w:w="1649" w:type="dxa"/>
            <w:tcBorders>
              <w:top w:val="nil"/>
              <w:left w:val="nil"/>
              <w:bottom w:val="single" w:sz="4" w:space="0" w:color="auto"/>
              <w:right w:val="nil"/>
            </w:tcBorders>
            <w:shd w:val="clear" w:color="auto" w:fill="auto"/>
            <w:vAlign w:val="center"/>
            <w:hideMark/>
          </w:tcPr>
          <w:p w14:paraId="6C0F75BC"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 xml:space="preserve">Εύρος οφειλής (ευρώ) </w:t>
            </w:r>
          </w:p>
        </w:tc>
        <w:tc>
          <w:tcPr>
            <w:tcW w:w="1612" w:type="dxa"/>
            <w:tcBorders>
              <w:top w:val="nil"/>
              <w:left w:val="nil"/>
              <w:bottom w:val="single" w:sz="4" w:space="0" w:color="auto"/>
              <w:right w:val="nil"/>
            </w:tcBorders>
            <w:shd w:val="clear" w:color="auto" w:fill="auto"/>
            <w:vAlign w:val="center"/>
            <w:hideMark/>
          </w:tcPr>
          <w:p w14:paraId="28249214"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Πλήθος ΑΦΜ οφειλετών τέταρτο τρίμηνο 2019</w:t>
            </w:r>
          </w:p>
        </w:tc>
        <w:tc>
          <w:tcPr>
            <w:tcW w:w="1538" w:type="dxa"/>
            <w:tcBorders>
              <w:top w:val="nil"/>
              <w:left w:val="nil"/>
              <w:bottom w:val="single" w:sz="4" w:space="0" w:color="auto"/>
              <w:right w:val="nil"/>
            </w:tcBorders>
            <w:shd w:val="clear" w:color="auto" w:fill="auto"/>
            <w:vAlign w:val="center"/>
            <w:hideMark/>
          </w:tcPr>
          <w:p w14:paraId="1E04C895"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Πλήθος ΑΦΜ οφειλετών τέταρτο τρίμηνο 2020</w:t>
            </w:r>
          </w:p>
        </w:tc>
        <w:tc>
          <w:tcPr>
            <w:tcW w:w="1888" w:type="dxa"/>
            <w:tcBorders>
              <w:top w:val="nil"/>
              <w:left w:val="nil"/>
              <w:bottom w:val="single" w:sz="4" w:space="0" w:color="auto"/>
              <w:right w:val="nil"/>
            </w:tcBorders>
            <w:shd w:val="clear" w:color="auto" w:fill="auto"/>
            <w:vAlign w:val="center"/>
            <w:hideMark/>
          </w:tcPr>
          <w:p w14:paraId="388FC243"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Μεταβολή πλήθους οφειλετών</w:t>
            </w:r>
          </w:p>
        </w:tc>
      </w:tr>
      <w:tr w:rsidR="00824F7F" w:rsidRPr="00575A7E" w14:paraId="6DD7A53F" w14:textId="77777777" w:rsidTr="009142DF">
        <w:trPr>
          <w:trHeight w:val="218"/>
          <w:jc w:val="center"/>
        </w:trPr>
        <w:tc>
          <w:tcPr>
            <w:tcW w:w="1649" w:type="dxa"/>
            <w:tcBorders>
              <w:top w:val="nil"/>
              <w:left w:val="nil"/>
              <w:bottom w:val="nil"/>
              <w:right w:val="nil"/>
            </w:tcBorders>
            <w:shd w:val="clear" w:color="auto" w:fill="auto"/>
            <w:noWrap/>
            <w:vAlign w:val="bottom"/>
            <w:hideMark/>
          </w:tcPr>
          <w:p w14:paraId="216CDB5A"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&lt;50</w:t>
            </w:r>
          </w:p>
        </w:tc>
        <w:tc>
          <w:tcPr>
            <w:tcW w:w="1612" w:type="dxa"/>
            <w:tcBorders>
              <w:top w:val="nil"/>
              <w:left w:val="nil"/>
              <w:bottom w:val="nil"/>
              <w:right w:val="nil"/>
            </w:tcBorders>
            <w:shd w:val="clear" w:color="auto" w:fill="auto"/>
            <w:noWrap/>
            <w:vAlign w:val="bottom"/>
          </w:tcPr>
          <w:p w14:paraId="6827C44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940.943</w:t>
            </w:r>
          </w:p>
        </w:tc>
        <w:tc>
          <w:tcPr>
            <w:tcW w:w="1538" w:type="dxa"/>
            <w:tcBorders>
              <w:top w:val="nil"/>
              <w:left w:val="nil"/>
              <w:bottom w:val="nil"/>
              <w:right w:val="nil"/>
            </w:tcBorders>
            <w:shd w:val="clear" w:color="auto" w:fill="auto"/>
            <w:noWrap/>
            <w:vAlign w:val="bottom"/>
          </w:tcPr>
          <w:p w14:paraId="58A143D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855.904</w:t>
            </w:r>
          </w:p>
        </w:tc>
        <w:tc>
          <w:tcPr>
            <w:tcW w:w="1888" w:type="dxa"/>
            <w:tcBorders>
              <w:top w:val="nil"/>
              <w:left w:val="nil"/>
              <w:bottom w:val="nil"/>
              <w:right w:val="nil"/>
            </w:tcBorders>
            <w:shd w:val="clear" w:color="auto" w:fill="auto"/>
            <w:noWrap/>
            <w:vAlign w:val="bottom"/>
          </w:tcPr>
          <w:p w14:paraId="3DB542F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-85.039</w:t>
            </w:r>
          </w:p>
        </w:tc>
      </w:tr>
      <w:tr w:rsidR="00824F7F" w:rsidRPr="00575A7E" w14:paraId="3E9C798D" w14:textId="77777777" w:rsidTr="009142DF">
        <w:trPr>
          <w:trHeight w:val="218"/>
          <w:jc w:val="center"/>
        </w:trPr>
        <w:tc>
          <w:tcPr>
            <w:tcW w:w="1649" w:type="dxa"/>
            <w:tcBorders>
              <w:top w:val="nil"/>
              <w:left w:val="nil"/>
              <w:bottom w:val="nil"/>
              <w:right w:val="nil"/>
            </w:tcBorders>
            <w:shd w:val="clear" w:color="auto" w:fill="auto"/>
            <w:noWrap/>
            <w:vAlign w:val="bottom"/>
          </w:tcPr>
          <w:p w14:paraId="04EB4AB7"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50-500</w:t>
            </w:r>
          </w:p>
        </w:tc>
        <w:tc>
          <w:tcPr>
            <w:tcW w:w="1612" w:type="dxa"/>
            <w:tcBorders>
              <w:top w:val="nil"/>
              <w:left w:val="nil"/>
              <w:bottom w:val="nil"/>
              <w:right w:val="nil"/>
            </w:tcBorders>
            <w:shd w:val="clear" w:color="auto" w:fill="auto"/>
            <w:noWrap/>
            <w:vAlign w:val="bottom"/>
          </w:tcPr>
          <w:p w14:paraId="519E067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1.299.805</w:t>
            </w:r>
          </w:p>
        </w:tc>
        <w:tc>
          <w:tcPr>
            <w:tcW w:w="1538" w:type="dxa"/>
            <w:tcBorders>
              <w:top w:val="nil"/>
              <w:left w:val="nil"/>
              <w:bottom w:val="nil"/>
              <w:right w:val="nil"/>
            </w:tcBorders>
            <w:shd w:val="clear" w:color="auto" w:fill="auto"/>
            <w:noWrap/>
            <w:vAlign w:val="bottom"/>
          </w:tcPr>
          <w:p w14:paraId="366A5DEB"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1.376.919</w:t>
            </w:r>
          </w:p>
        </w:tc>
        <w:tc>
          <w:tcPr>
            <w:tcW w:w="1888" w:type="dxa"/>
            <w:tcBorders>
              <w:top w:val="nil"/>
              <w:left w:val="nil"/>
              <w:bottom w:val="nil"/>
              <w:right w:val="nil"/>
            </w:tcBorders>
            <w:shd w:val="clear" w:color="auto" w:fill="auto"/>
            <w:noWrap/>
            <w:vAlign w:val="bottom"/>
          </w:tcPr>
          <w:p w14:paraId="29A1C8A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77.114</w:t>
            </w:r>
          </w:p>
        </w:tc>
      </w:tr>
      <w:tr w:rsidR="00824F7F" w:rsidRPr="00575A7E" w14:paraId="23067340" w14:textId="77777777" w:rsidTr="009142DF">
        <w:trPr>
          <w:trHeight w:val="218"/>
          <w:jc w:val="center"/>
        </w:trPr>
        <w:tc>
          <w:tcPr>
            <w:tcW w:w="1649" w:type="dxa"/>
            <w:tcBorders>
              <w:top w:val="nil"/>
              <w:left w:val="nil"/>
              <w:bottom w:val="nil"/>
              <w:right w:val="nil"/>
            </w:tcBorders>
            <w:shd w:val="clear" w:color="auto" w:fill="auto"/>
            <w:noWrap/>
            <w:vAlign w:val="bottom"/>
            <w:hideMark/>
          </w:tcPr>
          <w:p w14:paraId="13EFF4DC"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500-10.000</w:t>
            </w:r>
          </w:p>
        </w:tc>
        <w:tc>
          <w:tcPr>
            <w:tcW w:w="1612" w:type="dxa"/>
            <w:tcBorders>
              <w:top w:val="nil"/>
              <w:left w:val="nil"/>
              <w:bottom w:val="nil"/>
              <w:right w:val="nil"/>
            </w:tcBorders>
            <w:shd w:val="clear" w:color="auto" w:fill="auto"/>
            <w:noWrap/>
            <w:vAlign w:val="bottom"/>
            <w:hideMark/>
          </w:tcPr>
          <w:p w14:paraId="77915F3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1.519.538</w:t>
            </w:r>
          </w:p>
        </w:tc>
        <w:tc>
          <w:tcPr>
            <w:tcW w:w="1538" w:type="dxa"/>
            <w:tcBorders>
              <w:top w:val="nil"/>
              <w:left w:val="nil"/>
              <w:bottom w:val="nil"/>
              <w:right w:val="nil"/>
            </w:tcBorders>
            <w:shd w:val="clear" w:color="auto" w:fill="auto"/>
            <w:noWrap/>
            <w:vAlign w:val="bottom"/>
            <w:hideMark/>
          </w:tcPr>
          <w:p w14:paraId="1EFE5271"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1.499.828</w:t>
            </w:r>
          </w:p>
        </w:tc>
        <w:tc>
          <w:tcPr>
            <w:tcW w:w="1888" w:type="dxa"/>
            <w:tcBorders>
              <w:top w:val="nil"/>
              <w:left w:val="nil"/>
              <w:bottom w:val="nil"/>
              <w:right w:val="nil"/>
            </w:tcBorders>
            <w:shd w:val="clear" w:color="auto" w:fill="auto"/>
            <w:noWrap/>
            <w:vAlign w:val="bottom"/>
          </w:tcPr>
          <w:p w14:paraId="1DAD78F8"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-19.710</w:t>
            </w:r>
          </w:p>
        </w:tc>
      </w:tr>
      <w:tr w:rsidR="00824F7F" w:rsidRPr="00575A7E" w14:paraId="3F87EB12" w14:textId="77777777" w:rsidTr="009142DF">
        <w:trPr>
          <w:trHeight w:val="218"/>
          <w:jc w:val="center"/>
        </w:trPr>
        <w:tc>
          <w:tcPr>
            <w:tcW w:w="1649" w:type="dxa"/>
            <w:tcBorders>
              <w:top w:val="nil"/>
              <w:left w:val="nil"/>
              <w:bottom w:val="nil"/>
              <w:right w:val="nil"/>
            </w:tcBorders>
            <w:shd w:val="clear" w:color="auto" w:fill="auto"/>
            <w:noWrap/>
            <w:vAlign w:val="bottom"/>
            <w:hideMark/>
          </w:tcPr>
          <w:p w14:paraId="498017B8"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10.000-100.000</w:t>
            </w:r>
          </w:p>
        </w:tc>
        <w:tc>
          <w:tcPr>
            <w:tcW w:w="1612" w:type="dxa"/>
            <w:tcBorders>
              <w:top w:val="nil"/>
              <w:left w:val="nil"/>
              <w:bottom w:val="nil"/>
              <w:right w:val="nil"/>
            </w:tcBorders>
            <w:shd w:val="clear" w:color="auto" w:fill="auto"/>
            <w:noWrap/>
            <w:vAlign w:val="bottom"/>
            <w:hideMark/>
          </w:tcPr>
          <w:p w14:paraId="521AD3E5"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263.732</w:t>
            </w:r>
          </w:p>
        </w:tc>
        <w:tc>
          <w:tcPr>
            <w:tcW w:w="1538" w:type="dxa"/>
            <w:tcBorders>
              <w:top w:val="nil"/>
              <w:left w:val="nil"/>
              <w:bottom w:val="nil"/>
              <w:right w:val="nil"/>
            </w:tcBorders>
            <w:shd w:val="clear" w:color="auto" w:fill="auto"/>
            <w:noWrap/>
            <w:vAlign w:val="bottom"/>
            <w:hideMark/>
          </w:tcPr>
          <w:p w14:paraId="6A3FE12A"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266.220</w:t>
            </w:r>
          </w:p>
        </w:tc>
        <w:tc>
          <w:tcPr>
            <w:tcW w:w="1888" w:type="dxa"/>
            <w:tcBorders>
              <w:top w:val="nil"/>
              <w:left w:val="nil"/>
              <w:bottom w:val="nil"/>
              <w:right w:val="nil"/>
            </w:tcBorders>
            <w:shd w:val="clear" w:color="auto" w:fill="auto"/>
            <w:noWrap/>
            <w:vAlign w:val="bottom"/>
          </w:tcPr>
          <w:p w14:paraId="2FADF475"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2.488</w:t>
            </w:r>
          </w:p>
        </w:tc>
      </w:tr>
      <w:tr w:rsidR="00824F7F" w:rsidRPr="00575A7E" w14:paraId="495B5288" w14:textId="77777777" w:rsidTr="009142DF">
        <w:trPr>
          <w:trHeight w:val="218"/>
          <w:jc w:val="center"/>
        </w:trPr>
        <w:tc>
          <w:tcPr>
            <w:tcW w:w="1649" w:type="dxa"/>
            <w:tcBorders>
              <w:top w:val="nil"/>
              <w:left w:val="nil"/>
              <w:bottom w:val="nil"/>
              <w:right w:val="nil"/>
            </w:tcBorders>
            <w:shd w:val="clear" w:color="auto" w:fill="auto"/>
            <w:noWrap/>
            <w:vAlign w:val="bottom"/>
            <w:hideMark/>
          </w:tcPr>
          <w:p w14:paraId="5C51DEB7"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100.000-1.000.000</w:t>
            </w:r>
          </w:p>
        </w:tc>
        <w:tc>
          <w:tcPr>
            <w:tcW w:w="1612" w:type="dxa"/>
            <w:tcBorders>
              <w:top w:val="nil"/>
              <w:left w:val="nil"/>
              <w:bottom w:val="nil"/>
              <w:right w:val="nil"/>
            </w:tcBorders>
            <w:shd w:val="clear" w:color="auto" w:fill="auto"/>
            <w:noWrap/>
            <w:vAlign w:val="bottom"/>
            <w:hideMark/>
          </w:tcPr>
          <w:p w14:paraId="4BD9EFC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36.695</w:t>
            </w:r>
          </w:p>
        </w:tc>
        <w:tc>
          <w:tcPr>
            <w:tcW w:w="1538" w:type="dxa"/>
            <w:tcBorders>
              <w:top w:val="nil"/>
              <w:left w:val="nil"/>
              <w:bottom w:val="nil"/>
              <w:right w:val="nil"/>
            </w:tcBorders>
            <w:shd w:val="clear" w:color="auto" w:fill="auto"/>
            <w:noWrap/>
            <w:vAlign w:val="bottom"/>
            <w:hideMark/>
          </w:tcPr>
          <w:p w14:paraId="02D0118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37.946</w:t>
            </w:r>
          </w:p>
        </w:tc>
        <w:tc>
          <w:tcPr>
            <w:tcW w:w="1888" w:type="dxa"/>
            <w:tcBorders>
              <w:top w:val="nil"/>
              <w:left w:val="nil"/>
              <w:bottom w:val="nil"/>
              <w:right w:val="nil"/>
            </w:tcBorders>
            <w:shd w:val="clear" w:color="auto" w:fill="auto"/>
            <w:noWrap/>
            <w:vAlign w:val="bottom"/>
          </w:tcPr>
          <w:p w14:paraId="033CAA3B"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1.251</w:t>
            </w:r>
          </w:p>
        </w:tc>
      </w:tr>
      <w:tr w:rsidR="00824F7F" w:rsidRPr="00575A7E" w14:paraId="028AC87B" w14:textId="77777777" w:rsidTr="009142DF">
        <w:trPr>
          <w:trHeight w:val="218"/>
          <w:jc w:val="center"/>
        </w:trPr>
        <w:tc>
          <w:tcPr>
            <w:tcW w:w="1649" w:type="dxa"/>
            <w:tcBorders>
              <w:top w:val="nil"/>
              <w:left w:val="nil"/>
              <w:right w:val="nil"/>
            </w:tcBorders>
            <w:shd w:val="clear" w:color="auto" w:fill="auto"/>
            <w:noWrap/>
            <w:vAlign w:val="bottom"/>
            <w:hideMark/>
          </w:tcPr>
          <w:p w14:paraId="4F7A059D"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&gt;1.000.000</w:t>
            </w:r>
          </w:p>
        </w:tc>
        <w:tc>
          <w:tcPr>
            <w:tcW w:w="1612" w:type="dxa"/>
            <w:tcBorders>
              <w:top w:val="nil"/>
              <w:left w:val="nil"/>
              <w:right w:val="nil"/>
            </w:tcBorders>
            <w:shd w:val="clear" w:color="auto" w:fill="auto"/>
            <w:noWrap/>
            <w:vAlign w:val="bottom"/>
            <w:hideMark/>
          </w:tcPr>
          <w:p w14:paraId="173644E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8.195</w:t>
            </w:r>
          </w:p>
        </w:tc>
        <w:tc>
          <w:tcPr>
            <w:tcW w:w="1538" w:type="dxa"/>
            <w:tcBorders>
              <w:top w:val="nil"/>
              <w:left w:val="nil"/>
              <w:right w:val="nil"/>
            </w:tcBorders>
            <w:shd w:val="clear" w:color="auto" w:fill="auto"/>
            <w:noWrap/>
            <w:vAlign w:val="bottom"/>
            <w:hideMark/>
          </w:tcPr>
          <w:p w14:paraId="17FE4F3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8.400</w:t>
            </w:r>
          </w:p>
        </w:tc>
        <w:tc>
          <w:tcPr>
            <w:tcW w:w="1888" w:type="dxa"/>
            <w:tcBorders>
              <w:top w:val="nil"/>
              <w:left w:val="nil"/>
              <w:right w:val="nil"/>
            </w:tcBorders>
            <w:shd w:val="clear" w:color="auto" w:fill="auto"/>
            <w:noWrap/>
            <w:vAlign w:val="bottom"/>
          </w:tcPr>
          <w:p w14:paraId="123125FB"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205</w:t>
            </w:r>
          </w:p>
        </w:tc>
      </w:tr>
      <w:tr w:rsidR="00824F7F" w:rsidRPr="00575A7E" w14:paraId="22B21F62" w14:textId="77777777" w:rsidTr="009142DF">
        <w:trPr>
          <w:trHeight w:val="218"/>
          <w:jc w:val="center"/>
        </w:trPr>
        <w:tc>
          <w:tcPr>
            <w:tcW w:w="1649" w:type="dxa"/>
            <w:tcBorders>
              <w:top w:val="nil"/>
              <w:left w:val="nil"/>
              <w:bottom w:val="single" w:sz="4" w:space="0" w:color="auto"/>
              <w:right w:val="nil"/>
            </w:tcBorders>
            <w:shd w:val="clear" w:color="auto" w:fill="auto"/>
            <w:noWrap/>
            <w:vAlign w:val="bottom"/>
            <w:hideMark/>
          </w:tcPr>
          <w:p w14:paraId="2139D64D" w14:textId="77777777" w:rsidR="00824F7F" w:rsidRPr="00575A7E" w:rsidRDefault="00824F7F" w:rsidP="003B1BE9">
            <w:pPr>
              <w:spacing w:after="0" w:line="276" w:lineRule="auto"/>
              <w:rPr>
                <w:rFonts w:ascii="Calibri" w:eastAsia="Times New Roman" w:hAnsi="Calibri" w:cs="Times New Roman"/>
                <w:b/>
                <w:bCs/>
                <w:color w:val="595959"/>
                <w:sz w:val="18"/>
                <w:szCs w:val="18"/>
                <w:lang w:eastAsia="el-GR"/>
              </w:rPr>
            </w:pPr>
            <w:r w:rsidRPr="00575A7E">
              <w:rPr>
                <w:rFonts w:ascii="Calibri" w:eastAsia="Times New Roman" w:hAnsi="Calibri" w:cs="Times New Roman"/>
                <w:b/>
                <w:bCs/>
                <w:color w:val="595959"/>
                <w:sz w:val="18"/>
                <w:szCs w:val="18"/>
                <w:lang w:eastAsia="el-GR"/>
              </w:rPr>
              <w:t>Σύνολο</w:t>
            </w:r>
          </w:p>
        </w:tc>
        <w:tc>
          <w:tcPr>
            <w:tcW w:w="1612" w:type="dxa"/>
            <w:tcBorders>
              <w:top w:val="nil"/>
              <w:left w:val="nil"/>
              <w:bottom w:val="single" w:sz="4" w:space="0" w:color="auto"/>
              <w:right w:val="nil"/>
            </w:tcBorders>
            <w:shd w:val="clear" w:color="auto" w:fill="auto"/>
            <w:noWrap/>
            <w:vAlign w:val="bottom"/>
            <w:hideMark/>
          </w:tcPr>
          <w:p w14:paraId="42DF039E"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4.068.908</w:t>
            </w:r>
          </w:p>
        </w:tc>
        <w:tc>
          <w:tcPr>
            <w:tcW w:w="1538" w:type="dxa"/>
            <w:tcBorders>
              <w:top w:val="nil"/>
              <w:left w:val="nil"/>
              <w:bottom w:val="single" w:sz="4" w:space="0" w:color="auto"/>
              <w:right w:val="nil"/>
            </w:tcBorders>
            <w:shd w:val="clear" w:color="auto" w:fill="auto"/>
            <w:noWrap/>
            <w:vAlign w:val="bottom"/>
            <w:hideMark/>
          </w:tcPr>
          <w:p w14:paraId="009AA55C"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4.045.217</w:t>
            </w:r>
          </w:p>
        </w:tc>
        <w:tc>
          <w:tcPr>
            <w:tcW w:w="1888" w:type="dxa"/>
            <w:tcBorders>
              <w:top w:val="nil"/>
              <w:left w:val="nil"/>
              <w:bottom w:val="single" w:sz="4" w:space="0" w:color="auto"/>
              <w:right w:val="nil"/>
            </w:tcBorders>
            <w:shd w:val="clear" w:color="auto" w:fill="auto"/>
            <w:noWrap/>
            <w:vAlign w:val="bottom"/>
          </w:tcPr>
          <w:p w14:paraId="47C66F8C"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-23.691</w:t>
            </w:r>
          </w:p>
        </w:tc>
      </w:tr>
      <w:tr w:rsidR="00824F7F" w:rsidRPr="00575A7E" w14:paraId="51E5DE8F" w14:textId="77777777" w:rsidTr="009142DF">
        <w:trPr>
          <w:trHeight w:val="218"/>
          <w:jc w:val="center"/>
        </w:trPr>
        <w:tc>
          <w:tcPr>
            <w:tcW w:w="1649" w:type="dxa"/>
            <w:tcBorders>
              <w:top w:val="single" w:sz="4" w:space="0" w:color="auto"/>
              <w:left w:val="nil"/>
              <w:right w:val="nil"/>
            </w:tcBorders>
            <w:shd w:val="clear" w:color="auto" w:fill="auto"/>
            <w:noWrap/>
            <w:vAlign w:val="bottom"/>
          </w:tcPr>
          <w:p w14:paraId="266AC985" w14:textId="77777777" w:rsidR="00824F7F" w:rsidRPr="00575A7E" w:rsidRDefault="00824F7F" w:rsidP="003B1BE9">
            <w:pPr>
              <w:spacing w:after="0" w:line="276" w:lineRule="auto"/>
              <w:rPr>
                <w:rFonts w:ascii="Calibri" w:eastAsia="Times New Roman" w:hAnsi="Calibri" w:cs="Times New Roman"/>
                <w:bCs/>
                <w:color w:val="595959"/>
                <w:sz w:val="16"/>
                <w:szCs w:val="16"/>
                <w:lang w:eastAsia="el-GR"/>
              </w:rPr>
            </w:pPr>
            <w:r w:rsidRPr="00575A7E">
              <w:rPr>
                <w:rFonts w:ascii="Calibri" w:eastAsia="Times New Roman" w:hAnsi="Calibri" w:cs="Times New Roman"/>
                <w:bCs/>
                <w:color w:val="595959"/>
                <w:sz w:val="16"/>
                <w:szCs w:val="16"/>
                <w:lang w:eastAsia="el-GR"/>
              </w:rPr>
              <w:t>Πηγή: ΑΑΔΕ</w:t>
            </w:r>
          </w:p>
        </w:tc>
        <w:tc>
          <w:tcPr>
            <w:tcW w:w="1612" w:type="dxa"/>
            <w:tcBorders>
              <w:top w:val="single" w:sz="4" w:space="0" w:color="auto"/>
              <w:left w:val="nil"/>
              <w:right w:val="nil"/>
            </w:tcBorders>
            <w:shd w:val="clear" w:color="auto" w:fill="auto"/>
            <w:noWrap/>
            <w:vAlign w:val="bottom"/>
          </w:tcPr>
          <w:p w14:paraId="69C1C1C4"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538" w:type="dxa"/>
            <w:tcBorders>
              <w:top w:val="single" w:sz="4" w:space="0" w:color="auto"/>
              <w:left w:val="nil"/>
              <w:right w:val="nil"/>
            </w:tcBorders>
            <w:shd w:val="clear" w:color="auto" w:fill="auto"/>
            <w:noWrap/>
            <w:vAlign w:val="bottom"/>
          </w:tcPr>
          <w:p w14:paraId="49335CDC"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888" w:type="dxa"/>
            <w:tcBorders>
              <w:top w:val="single" w:sz="4" w:space="0" w:color="auto"/>
              <w:left w:val="nil"/>
              <w:right w:val="nil"/>
            </w:tcBorders>
            <w:shd w:val="clear" w:color="auto" w:fill="auto"/>
            <w:noWrap/>
            <w:vAlign w:val="bottom"/>
          </w:tcPr>
          <w:p w14:paraId="527E49E6"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r>
    </w:tbl>
    <w:p w14:paraId="7A980443" w14:textId="77777777" w:rsidR="00824F7F" w:rsidRPr="00575A7E" w:rsidRDefault="00824F7F" w:rsidP="003B1BE9">
      <w:pPr>
        <w:pStyle w:val="ae"/>
        <w:keepNext/>
        <w:tabs>
          <w:tab w:val="left" w:pos="2304"/>
        </w:tabs>
        <w:spacing w:after="0" w:line="276" w:lineRule="auto"/>
        <w:rPr>
          <w:i w:val="0"/>
          <w:iCs w:val="0"/>
          <w:sz w:val="22"/>
          <w:szCs w:val="22"/>
        </w:rPr>
      </w:pPr>
      <w:r w:rsidRPr="00575A7E">
        <w:rPr>
          <w:sz w:val="22"/>
          <w:szCs w:val="22"/>
        </w:rPr>
        <w:tab/>
      </w:r>
    </w:p>
    <w:p w14:paraId="34E88942" w14:textId="719785D3" w:rsidR="001B2056" w:rsidRPr="00575A7E" w:rsidRDefault="00D960BC" w:rsidP="00D960BC">
      <w:pPr>
        <w:pStyle w:val="ae"/>
        <w:jc w:val="center"/>
      </w:pPr>
      <w:bookmarkStart w:id="106" w:name="_Toc67396684"/>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5</w:t>
      </w:r>
      <w:r w:rsidR="0096217C">
        <w:rPr>
          <w:noProof/>
        </w:rPr>
        <w:fldChar w:fldCharType="end"/>
      </w:r>
      <w:r w:rsidR="001B2056" w:rsidRPr="00575A7E">
        <w:t xml:space="preserve"> Κατανομή ληξιπρόθεσμων οφειλών προς τη Φορολογική Διοίκηση, σε εκατ. ευρώ</w:t>
      </w:r>
      <w:bookmarkEnd w:id="106"/>
    </w:p>
    <w:tbl>
      <w:tblPr>
        <w:tblW w:w="6330" w:type="dxa"/>
        <w:jc w:val="center"/>
        <w:tblLook w:val="04A0" w:firstRow="1" w:lastRow="0" w:firstColumn="1" w:lastColumn="0" w:noHBand="0" w:noVBand="1"/>
      </w:tblPr>
      <w:tblGrid>
        <w:gridCol w:w="1706"/>
        <w:gridCol w:w="1708"/>
        <w:gridCol w:w="1538"/>
        <w:gridCol w:w="1378"/>
      </w:tblGrid>
      <w:tr w:rsidR="00824F7F" w:rsidRPr="00575A7E" w14:paraId="61623E0C" w14:textId="77777777" w:rsidTr="009142DF">
        <w:trPr>
          <w:trHeight w:val="873"/>
          <w:jc w:val="center"/>
        </w:trPr>
        <w:tc>
          <w:tcPr>
            <w:tcW w:w="1706" w:type="dxa"/>
            <w:tcBorders>
              <w:top w:val="nil"/>
              <w:left w:val="nil"/>
              <w:bottom w:val="single" w:sz="4" w:space="0" w:color="auto"/>
              <w:right w:val="nil"/>
            </w:tcBorders>
            <w:shd w:val="clear" w:color="auto" w:fill="auto"/>
            <w:vAlign w:val="center"/>
            <w:hideMark/>
          </w:tcPr>
          <w:p w14:paraId="57E679D3"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 xml:space="preserve">Εύρος οφειλής (ευρώ) </w:t>
            </w:r>
          </w:p>
        </w:tc>
        <w:tc>
          <w:tcPr>
            <w:tcW w:w="1708" w:type="dxa"/>
            <w:tcBorders>
              <w:top w:val="nil"/>
              <w:left w:val="nil"/>
              <w:bottom w:val="single" w:sz="4" w:space="0" w:color="auto"/>
              <w:right w:val="nil"/>
            </w:tcBorders>
            <w:shd w:val="clear" w:color="auto" w:fill="auto"/>
            <w:vAlign w:val="center"/>
            <w:hideMark/>
          </w:tcPr>
          <w:p w14:paraId="3FDC6D1E"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Ληξιπρόθεσμες οφειλές τέταρτο τρίμηνο 2019</w:t>
            </w:r>
          </w:p>
        </w:tc>
        <w:tc>
          <w:tcPr>
            <w:tcW w:w="1538" w:type="dxa"/>
            <w:tcBorders>
              <w:top w:val="nil"/>
              <w:left w:val="nil"/>
              <w:bottom w:val="single" w:sz="4" w:space="0" w:color="auto"/>
              <w:right w:val="nil"/>
            </w:tcBorders>
            <w:shd w:val="clear" w:color="auto" w:fill="auto"/>
            <w:vAlign w:val="center"/>
            <w:hideMark/>
          </w:tcPr>
          <w:p w14:paraId="0652ED19"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Ληξιπρόθεσμες οφειλές τέταρτο τρίμηνο 2020</w:t>
            </w:r>
          </w:p>
        </w:tc>
        <w:tc>
          <w:tcPr>
            <w:tcW w:w="1378" w:type="dxa"/>
            <w:tcBorders>
              <w:top w:val="nil"/>
              <w:left w:val="nil"/>
              <w:bottom w:val="single" w:sz="4" w:space="0" w:color="auto"/>
              <w:right w:val="nil"/>
            </w:tcBorders>
            <w:shd w:val="clear" w:color="auto" w:fill="auto"/>
            <w:vAlign w:val="center"/>
            <w:hideMark/>
          </w:tcPr>
          <w:p w14:paraId="365E795A"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Μεταβολή ληξιπρόθεσμων οφειλών</w:t>
            </w:r>
          </w:p>
        </w:tc>
      </w:tr>
      <w:tr w:rsidR="00824F7F" w:rsidRPr="00575A7E" w14:paraId="6D0B73AD" w14:textId="77777777" w:rsidTr="009142DF">
        <w:trPr>
          <w:trHeight w:val="218"/>
          <w:jc w:val="center"/>
        </w:trPr>
        <w:tc>
          <w:tcPr>
            <w:tcW w:w="1706" w:type="dxa"/>
            <w:tcBorders>
              <w:top w:val="nil"/>
              <w:left w:val="nil"/>
              <w:bottom w:val="nil"/>
              <w:right w:val="nil"/>
            </w:tcBorders>
            <w:shd w:val="clear" w:color="auto" w:fill="auto"/>
            <w:noWrap/>
            <w:vAlign w:val="bottom"/>
            <w:hideMark/>
          </w:tcPr>
          <w:p w14:paraId="10F32FB9"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&lt;50</w:t>
            </w:r>
          </w:p>
        </w:tc>
        <w:tc>
          <w:tcPr>
            <w:tcW w:w="1708" w:type="dxa"/>
            <w:tcBorders>
              <w:top w:val="nil"/>
              <w:left w:val="nil"/>
              <w:bottom w:val="nil"/>
              <w:right w:val="nil"/>
            </w:tcBorders>
            <w:shd w:val="clear" w:color="auto" w:fill="auto"/>
            <w:noWrap/>
            <w:vAlign w:val="bottom"/>
          </w:tcPr>
          <w:p w14:paraId="5C7A8C1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11,6</w:t>
            </w:r>
          </w:p>
        </w:tc>
        <w:tc>
          <w:tcPr>
            <w:tcW w:w="1538" w:type="dxa"/>
            <w:tcBorders>
              <w:top w:val="nil"/>
              <w:left w:val="nil"/>
              <w:bottom w:val="nil"/>
              <w:right w:val="nil"/>
            </w:tcBorders>
            <w:shd w:val="clear" w:color="auto" w:fill="auto"/>
            <w:noWrap/>
            <w:vAlign w:val="bottom"/>
          </w:tcPr>
          <w:p w14:paraId="645E58C7"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13,2</w:t>
            </w:r>
          </w:p>
        </w:tc>
        <w:tc>
          <w:tcPr>
            <w:tcW w:w="1378" w:type="dxa"/>
            <w:tcBorders>
              <w:top w:val="nil"/>
              <w:left w:val="nil"/>
              <w:bottom w:val="nil"/>
              <w:right w:val="nil"/>
            </w:tcBorders>
            <w:shd w:val="clear" w:color="auto" w:fill="auto"/>
            <w:noWrap/>
            <w:vAlign w:val="bottom"/>
          </w:tcPr>
          <w:p w14:paraId="1280AA21"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1,6</w:t>
            </w:r>
          </w:p>
        </w:tc>
      </w:tr>
      <w:tr w:rsidR="00824F7F" w:rsidRPr="00575A7E" w14:paraId="45777604" w14:textId="77777777" w:rsidTr="009142DF">
        <w:trPr>
          <w:trHeight w:val="218"/>
          <w:jc w:val="center"/>
        </w:trPr>
        <w:tc>
          <w:tcPr>
            <w:tcW w:w="1706" w:type="dxa"/>
            <w:tcBorders>
              <w:top w:val="nil"/>
              <w:left w:val="nil"/>
              <w:bottom w:val="nil"/>
              <w:right w:val="nil"/>
            </w:tcBorders>
            <w:shd w:val="clear" w:color="auto" w:fill="auto"/>
            <w:noWrap/>
            <w:vAlign w:val="bottom"/>
          </w:tcPr>
          <w:p w14:paraId="6B619CD2"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50-500</w:t>
            </w:r>
          </w:p>
        </w:tc>
        <w:tc>
          <w:tcPr>
            <w:tcW w:w="1708" w:type="dxa"/>
            <w:tcBorders>
              <w:top w:val="nil"/>
              <w:left w:val="nil"/>
              <w:bottom w:val="nil"/>
              <w:right w:val="nil"/>
            </w:tcBorders>
            <w:shd w:val="clear" w:color="auto" w:fill="auto"/>
            <w:noWrap/>
            <w:vAlign w:val="bottom"/>
          </w:tcPr>
          <w:p w14:paraId="1ACA109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282,3</w:t>
            </w:r>
          </w:p>
        </w:tc>
        <w:tc>
          <w:tcPr>
            <w:tcW w:w="1538" w:type="dxa"/>
            <w:tcBorders>
              <w:top w:val="nil"/>
              <w:left w:val="nil"/>
              <w:bottom w:val="nil"/>
              <w:right w:val="nil"/>
            </w:tcBorders>
            <w:shd w:val="clear" w:color="auto" w:fill="auto"/>
            <w:noWrap/>
            <w:vAlign w:val="bottom"/>
          </w:tcPr>
          <w:p w14:paraId="54EA29E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291,4</w:t>
            </w:r>
          </w:p>
        </w:tc>
        <w:tc>
          <w:tcPr>
            <w:tcW w:w="1378" w:type="dxa"/>
            <w:tcBorders>
              <w:top w:val="nil"/>
              <w:left w:val="nil"/>
              <w:bottom w:val="nil"/>
              <w:right w:val="nil"/>
            </w:tcBorders>
            <w:shd w:val="clear" w:color="auto" w:fill="auto"/>
            <w:noWrap/>
            <w:vAlign w:val="bottom"/>
          </w:tcPr>
          <w:p w14:paraId="365712C2"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9,1</w:t>
            </w:r>
          </w:p>
        </w:tc>
      </w:tr>
      <w:tr w:rsidR="00824F7F" w:rsidRPr="00575A7E" w14:paraId="424CEE5E" w14:textId="77777777" w:rsidTr="009142DF">
        <w:trPr>
          <w:trHeight w:val="218"/>
          <w:jc w:val="center"/>
        </w:trPr>
        <w:tc>
          <w:tcPr>
            <w:tcW w:w="1706" w:type="dxa"/>
            <w:tcBorders>
              <w:top w:val="nil"/>
              <w:left w:val="nil"/>
              <w:bottom w:val="nil"/>
              <w:right w:val="nil"/>
            </w:tcBorders>
            <w:shd w:val="clear" w:color="auto" w:fill="auto"/>
            <w:noWrap/>
            <w:vAlign w:val="bottom"/>
            <w:hideMark/>
          </w:tcPr>
          <w:p w14:paraId="12F7539E"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500-10.000</w:t>
            </w:r>
          </w:p>
        </w:tc>
        <w:tc>
          <w:tcPr>
            <w:tcW w:w="1708" w:type="dxa"/>
            <w:tcBorders>
              <w:top w:val="nil"/>
              <w:left w:val="nil"/>
              <w:bottom w:val="nil"/>
              <w:right w:val="nil"/>
            </w:tcBorders>
            <w:shd w:val="clear" w:color="auto" w:fill="auto"/>
            <w:noWrap/>
            <w:vAlign w:val="bottom"/>
            <w:hideMark/>
          </w:tcPr>
          <w:p w14:paraId="354F97E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3.608,6</w:t>
            </w:r>
          </w:p>
        </w:tc>
        <w:tc>
          <w:tcPr>
            <w:tcW w:w="1538" w:type="dxa"/>
            <w:tcBorders>
              <w:top w:val="nil"/>
              <w:left w:val="nil"/>
              <w:bottom w:val="nil"/>
              <w:right w:val="nil"/>
            </w:tcBorders>
            <w:shd w:val="clear" w:color="auto" w:fill="auto"/>
            <w:noWrap/>
            <w:vAlign w:val="bottom"/>
            <w:hideMark/>
          </w:tcPr>
          <w:p w14:paraId="4983925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3.577,4</w:t>
            </w:r>
          </w:p>
        </w:tc>
        <w:tc>
          <w:tcPr>
            <w:tcW w:w="1378" w:type="dxa"/>
            <w:tcBorders>
              <w:top w:val="nil"/>
              <w:left w:val="nil"/>
              <w:bottom w:val="nil"/>
              <w:right w:val="nil"/>
            </w:tcBorders>
            <w:shd w:val="clear" w:color="auto" w:fill="auto"/>
            <w:noWrap/>
            <w:vAlign w:val="bottom"/>
            <w:hideMark/>
          </w:tcPr>
          <w:p w14:paraId="5793205A"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-31,2</w:t>
            </w:r>
          </w:p>
        </w:tc>
      </w:tr>
      <w:tr w:rsidR="00824F7F" w:rsidRPr="00575A7E" w14:paraId="4A3C512F" w14:textId="77777777" w:rsidTr="009142DF">
        <w:trPr>
          <w:trHeight w:val="218"/>
          <w:jc w:val="center"/>
        </w:trPr>
        <w:tc>
          <w:tcPr>
            <w:tcW w:w="1706" w:type="dxa"/>
            <w:tcBorders>
              <w:top w:val="nil"/>
              <w:left w:val="nil"/>
              <w:bottom w:val="nil"/>
              <w:right w:val="nil"/>
            </w:tcBorders>
            <w:shd w:val="clear" w:color="auto" w:fill="auto"/>
            <w:noWrap/>
            <w:vAlign w:val="bottom"/>
            <w:hideMark/>
          </w:tcPr>
          <w:p w14:paraId="1C61658A"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10.000-100.000</w:t>
            </w:r>
          </w:p>
        </w:tc>
        <w:tc>
          <w:tcPr>
            <w:tcW w:w="1708" w:type="dxa"/>
            <w:tcBorders>
              <w:top w:val="nil"/>
              <w:left w:val="nil"/>
              <w:bottom w:val="nil"/>
              <w:right w:val="nil"/>
            </w:tcBorders>
            <w:shd w:val="clear" w:color="auto" w:fill="auto"/>
            <w:noWrap/>
            <w:vAlign w:val="bottom"/>
            <w:hideMark/>
          </w:tcPr>
          <w:p w14:paraId="5F812D5B"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7.285,7</w:t>
            </w:r>
          </w:p>
        </w:tc>
        <w:tc>
          <w:tcPr>
            <w:tcW w:w="1538" w:type="dxa"/>
            <w:tcBorders>
              <w:top w:val="nil"/>
              <w:left w:val="nil"/>
              <w:bottom w:val="nil"/>
              <w:right w:val="nil"/>
            </w:tcBorders>
            <w:shd w:val="clear" w:color="auto" w:fill="auto"/>
            <w:noWrap/>
            <w:vAlign w:val="bottom"/>
            <w:hideMark/>
          </w:tcPr>
          <w:p w14:paraId="79B5EE2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7.402,3</w:t>
            </w:r>
          </w:p>
        </w:tc>
        <w:tc>
          <w:tcPr>
            <w:tcW w:w="1378" w:type="dxa"/>
            <w:tcBorders>
              <w:top w:val="nil"/>
              <w:left w:val="nil"/>
              <w:bottom w:val="nil"/>
              <w:right w:val="nil"/>
            </w:tcBorders>
            <w:shd w:val="clear" w:color="auto" w:fill="auto"/>
            <w:noWrap/>
            <w:vAlign w:val="bottom"/>
            <w:hideMark/>
          </w:tcPr>
          <w:p w14:paraId="537F005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116,6</w:t>
            </w:r>
          </w:p>
        </w:tc>
      </w:tr>
      <w:tr w:rsidR="00824F7F" w:rsidRPr="00575A7E" w14:paraId="4C80142C" w14:textId="77777777" w:rsidTr="009142DF">
        <w:trPr>
          <w:trHeight w:val="218"/>
          <w:jc w:val="center"/>
        </w:trPr>
        <w:tc>
          <w:tcPr>
            <w:tcW w:w="1706" w:type="dxa"/>
            <w:tcBorders>
              <w:top w:val="nil"/>
              <w:left w:val="nil"/>
              <w:bottom w:val="nil"/>
              <w:right w:val="nil"/>
            </w:tcBorders>
            <w:shd w:val="clear" w:color="auto" w:fill="auto"/>
            <w:noWrap/>
            <w:vAlign w:val="bottom"/>
            <w:hideMark/>
          </w:tcPr>
          <w:p w14:paraId="07035A89"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100.000-1.000.000</w:t>
            </w:r>
          </w:p>
        </w:tc>
        <w:tc>
          <w:tcPr>
            <w:tcW w:w="1708" w:type="dxa"/>
            <w:tcBorders>
              <w:top w:val="nil"/>
              <w:left w:val="nil"/>
              <w:bottom w:val="nil"/>
              <w:right w:val="nil"/>
            </w:tcBorders>
            <w:shd w:val="clear" w:color="auto" w:fill="auto"/>
            <w:noWrap/>
            <w:vAlign w:val="bottom"/>
            <w:hideMark/>
          </w:tcPr>
          <w:p w14:paraId="26B4E0C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9.924,4</w:t>
            </w:r>
          </w:p>
        </w:tc>
        <w:tc>
          <w:tcPr>
            <w:tcW w:w="1538" w:type="dxa"/>
            <w:tcBorders>
              <w:top w:val="nil"/>
              <w:left w:val="nil"/>
              <w:bottom w:val="nil"/>
              <w:right w:val="nil"/>
            </w:tcBorders>
            <w:shd w:val="clear" w:color="auto" w:fill="auto"/>
            <w:noWrap/>
            <w:vAlign w:val="bottom"/>
            <w:hideMark/>
          </w:tcPr>
          <w:p w14:paraId="04213108"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10.226,9</w:t>
            </w:r>
          </w:p>
        </w:tc>
        <w:tc>
          <w:tcPr>
            <w:tcW w:w="1378" w:type="dxa"/>
            <w:tcBorders>
              <w:top w:val="nil"/>
              <w:left w:val="nil"/>
              <w:bottom w:val="nil"/>
              <w:right w:val="nil"/>
            </w:tcBorders>
            <w:shd w:val="clear" w:color="auto" w:fill="auto"/>
            <w:noWrap/>
            <w:vAlign w:val="bottom"/>
            <w:hideMark/>
          </w:tcPr>
          <w:p w14:paraId="0862AC7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302,5</w:t>
            </w:r>
          </w:p>
        </w:tc>
      </w:tr>
      <w:tr w:rsidR="00824F7F" w:rsidRPr="00575A7E" w14:paraId="3DAB1E9B" w14:textId="77777777" w:rsidTr="009142DF">
        <w:trPr>
          <w:trHeight w:val="218"/>
          <w:jc w:val="center"/>
        </w:trPr>
        <w:tc>
          <w:tcPr>
            <w:tcW w:w="1706" w:type="dxa"/>
            <w:tcBorders>
              <w:top w:val="nil"/>
              <w:left w:val="nil"/>
              <w:right w:val="nil"/>
            </w:tcBorders>
            <w:shd w:val="clear" w:color="auto" w:fill="auto"/>
            <w:noWrap/>
            <w:vAlign w:val="bottom"/>
            <w:hideMark/>
          </w:tcPr>
          <w:p w14:paraId="6892B0E0"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&gt;1.000.000</w:t>
            </w:r>
          </w:p>
        </w:tc>
        <w:tc>
          <w:tcPr>
            <w:tcW w:w="1708" w:type="dxa"/>
            <w:tcBorders>
              <w:top w:val="nil"/>
              <w:left w:val="nil"/>
              <w:right w:val="nil"/>
            </w:tcBorders>
            <w:shd w:val="clear" w:color="auto" w:fill="auto"/>
            <w:noWrap/>
            <w:vAlign w:val="bottom"/>
            <w:hideMark/>
          </w:tcPr>
          <w:p w14:paraId="5E9879D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84.505,2</w:t>
            </w:r>
          </w:p>
        </w:tc>
        <w:tc>
          <w:tcPr>
            <w:tcW w:w="1538" w:type="dxa"/>
            <w:tcBorders>
              <w:top w:val="nil"/>
              <w:left w:val="nil"/>
              <w:bottom w:val="nil"/>
              <w:right w:val="nil"/>
            </w:tcBorders>
            <w:shd w:val="clear" w:color="auto" w:fill="auto"/>
            <w:noWrap/>
            <w:vAlign w:val="bottom"/>
            <w:hideMark/>
          </w:tcPr>
          <w:p w14:paraId="1A87C9C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86.595,7</w:t>
            </w:r>
          </w:p>
        </w:tc>
        <w:tc>
          <w:tcPr>
            <w:tcW w:w="1378" w:type="dxa"/>
            <w:tcBorders>
              <w:top w:val="nil"/>
              <w:left w:val="nil"/>
              <w:right w:val="nil"/>
            </w:tcBorders>
            <w:shd w:val="clear" w:color="auto" w:fill="auto"/>
            <w:noWrap/>
            <w:vAlign w:val="bottom"/>
            <w:hideMark/>
          </w:tcPr>
          <w:p w14:paraId="6653F356"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2.090,5</w:t>
            </w:r>
          </w:p>
        </w:tc>
      </w:tr>
      <w:tr w:rsidR="00824F7F" w:rsidRPr="00575A7E" w14:paraId="44626D11" w14:textId="77777777" w:rsidTr="009142DF">
        <w:trPr>
          <w:trHeight w:val="218"/>
          <w:jc w:val="center"/>
        </w:trPr>
        <w:tc>
          <w:tcPr>
            <w:tcW w:w="1706" w:type="dxa"/>
            <w:tcBorders>
              <w:top w:val="nil"/>
              <w:left w:val="nil"/>
              <w:bottom w:val="single" w:sz="4" w:space="0" w:color="auto"/>
              <w:right w:val="nil"/>
            </w:tcBorders>
            <w:shd w:val="clear" w:color="auto" w:fill="auto"/>
            <w:noWrap/>
            <w:vAlign w:val="bottom"/>
            <w:hideMark/>
          </w:tcPr>
          <w:p w14:paraId="68C1FD84" w14:textId="77777777" w:rsidR="00824F7F" w:rsidRPr="00575A7E" w:rsidRDefault="00824F7F" w:rsidP="003B1BE9">
            <w:pPr>
              <w:spacing w:after="0" w:line="276" w:lineRule="auto"/>
              <w:rPr>
                <w:rFonts w:ascii="Calibri" w:eastAsia="Times New Roman" w:hAnsi="Calibri" w:cs="Times New Roman"/>
                <w:b/>
                <w:bCs/>
                <w:color w:val="595959"/>
                <w:sz w:val="18"/>
                <w:szCs w:val="18"/>
                <w:lang w:eastAsia="el-GR"/>
              </w:rPr>
            </w:pPr>
            <w:r w:rsidRPr="00575A7E">
              <w:rPr>
                <w:rFonts w:ascii="Calibri" w:eastAsia="Times New Roman" w:hAnsi="Calibri" w:cs="Times New Roman"/>
                <w:b/>
                <w:bCs/>
                <w:color w:val="595959"/>
                <w:sz w:val="18"/>
                <w:szCs w:val="18"/>
                <w:lang w:eastAsia="el-GR"/>
              </w:rPr>
              <w:t>Σύνολο</w:t>
            </w:r>
          </w:p>
        </w:tc>
        <w:tc>
          <w:tcPr>
            <w:tcW w:w="1708" w:type="dxa"/>
            <w:tcBorders>
              <w:top w:val="nil"/>
              <w:left w:val="nil"/>
              <w:bottom w:val="single" w:sz="4" w:space="0" w:color="auto"/>
              <w:right w:val="nil"/>
            </w:tcBorders>
            <w:shd w:val="clear" w:color="auto" w:fill="auto"/>
            <w:noWrap/>
            <w:vAlign w:val="bottom"/>
            <w:hideMark/>
          </w:tcPr>
          <w:p w14:paraId="7527AFA7"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105.617,9</w:t>
            </w:r>
          </w:p>
        </w:tc>
        <w:tc>
          <w:tcPr>
            <w:tcW w:w="1538" w:type="dxa"/>
            <w:tcBorders>
              <w:top w:val="nil"/>
              <w:left w:val="nil"/>
              <w:bottom w:val="nil"/>
              <w:right w:val="nil"/>
            </w:tcBorders>
            <w:shd w:val="clear" w:color="auto" w:fill="auto"/>
            <w:noWrap/>
            <w:vAlign w:val="bottom"/>
            <w:hideMark/>
          </w:tcPr>
          <w:p w14:paraId="0E8A9FCB"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108.107,0</w:t>
            </w:r>
          </w:p>
        </w:tc>
        <w:tc>
          <w:tcPr>
            <w:tcW w:w="1378" w:type="dxa"/>
            <w:tcBorders>
              <w:top w:val="nil"/>
              <w:left w:val="nil"/>
              <w:bottom w:val="single" w:sz="4" w:space="0" w:color="auto"/>
              <w:right w:val="nil"/>
            </w:tcBorders>
            <w:shd w:val="clear" w:color="auto" w:fill="auto"/>
            <w:noWrap/>
            <w:vAlign w:val="bottom"/>
            <w:hideMark/>
          </w:tcPr>
          <w:p w14:paraId="7720E79D"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2.489,1</w:t>
            </w:r>
          </w:p>
        </w:tc>
      </w:tr>
      <w:tr w:rsidR="00824F7F" w:rsidRPr="00575A7E" w14:paraId="248C29AC" w14:textId="77777777" w:rsidTr="009142DF">
        <w:trPr>
          <w:trHeight w:val="218"/>
          <w:jc w:val="center"/>
        </w:trPr>
        <w:tc>
          <w:tcPr>
            <w:tcW w:w="1706" w:type="dxa"/>
            <w:tcBorders>
              <w:top w:val="single" w:sz="4" w:space="0" w:color="auto"/>
              <w:left w:val="nil"/>
              <w:right w:val="nil"/>
            </w:tcBorders>
            <w:shd w:val="clear" w:color="auto" w:fill="auto"/>
            <w:noWrap/>
            <w:vAlign w:val="bottom"/>
          </w:tcPr>
          <w:p w14:paraId="0EFF08E9" w14:textId="77777777" w:rsidR="00824F7F" w:rsidRPr="00575A7E" w:rsidRDefault="00824F7F" w:rsidP="003B1BE9">
            <w:pPr>
              <w:spacing w:after="0" w:line="276" w:lineRule="auto"/>
              <w:rPr>
                <w:rFonts w:ascii="Calibri" w:eastAsia="Times New Roman" w:hAnsi="Calibri" w:cs="Times New Roman"/>
                <w:bCs/>
                <w:color w:val="595959"/>
                <w:sz w:val="16"/>
                <w:szCs w:val="16"/>
                <w:lang w:eastAsia="el-GR"/>
              </w:rPr>
            </w:pPr>
            <w:r w:rsidRPr="00575A7E">
              <w:rPr>
                <w:rFonts w:ascii="Calibri" w:eastAsia="Times New Roman" w:hAnsi="Calibri" w:cs="Times New Roman"/>
                <w:bCs/>
                <w:color w:val="595959"/>
                <w:sz w:val="16"/>
                <w:szCs w:val="16"/>
                <w:lang w:eastAsia="el-GR"/>
              </w:rPr>
              <w:t>Πηγή: ΑΑΔΕ</w:t>
            </w:r>
          </w:p>
        </w:tc>
        <w:tc>
          <w:tcPr>
            <w:tcW w:w="1708" w:type="dxa"/>
            <w:tcBorders>
              <w:top w:val="single" w:sz="4" w:space="0" w:color="auto"/>
              <w:left w:val="nil"/>
              <w:right w:val="nil"/>
            </w:tcBorders>
            <w:shd w:val="clear" w:color="auto" w:fill="auto"/>
            <w:noWrap/>
            <w:vAlign w:val="bottom"/>
          </w:tcPr>
          <w:p w14:paraId="69057D0D"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538" w:type="dxa"/>
            <w:tcBorders>
              <w:top w:val="single" w:sz="4" w:space="0" w:color="auto"/>
              <w:left w:val="nil"/>
              <w:right w:val="nil"/>
            </w:tcBorders>
            <w:shd w:val="clear" w:color="auto" w:fill="auto"/>
            <w:noWrap/>
            <w:vAlign w:val="bottom"/>
          </w:tcPr>
          <w:p w14:paraId="129B5496"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378" w:type="dxa"/>
            <w:tcBorders>
              <w:top w:val="single" w:sz="4" w:space="0" w:color="auto"/>
              <w:left w:val="nil"/>
              <w:right w:val="nil"/>
            </w:tcBorders>
            <w:shd w:val="clear" w:color="auto" w:fill="auto"/>
            <w:noWrap/>
            <w:vAlign w:val="bottom"/>
          </w:tcPr>
          <w:p w14:paraId="6C08B171"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r>
    </w:tbl>
    <w:p w14:paraId="30277B6F" w14:textId="77777777" w:rsidR="00824F7F" w:rsidRPr="00575A7E" w:rsidRDefault="00824F7F" w:rsidP="003B1BE9">
      <w:pPr>
        <w:spacing w:after="0" w:line="276" w:lineRule="auto"/>
        <w:rPr>
          <w:rFonts w:asciiTheme="majorHAnsi" w:eastAsia="Times New Roman" w:hAnsiTheme="majorHAnsi" w:cstheme="majorBidi"/>
          <w:b/>
          <w:bCs/>
          <w:color w:val="4472C4" w:themeColor="accent1"/>
        </w:rPr>
      </w:pPr>
      <w:bookmarkStart w:id="107" w:name="_Toc1387146"/>
      <w:bookmarkStart w:id="108" w:name="_Toc9685041"/>
      <w:bookmarkStart w:id="109" w:name="_Toc33093583"/>
    </w:p>
    <w:p w14:paraId="75B723E4" w14:textId="77777777" w:rsidR="00824F7F" w:rsidRPr="00575A7E" w:rsidRDefault="00824F7F" w:rsidP="003B1BE9">
      <w:pPr>
        <w:pStyle w:val="3"/>
        <w:spacing w:before="0" w:line="276" w:lineRule="auto"/>
        <w:jc w:val="both"/>
        <w:rPr>
          <w:rFonts w:eastAsia="Times New Roman"/>
        </w:rPr>
      </w:pPr>
      <w:bookmarkStart w:id="110" w:name="_Toc67401914"/>
      <w:r w:rsidRPr="00575A7E">
        <w:rPr>
          <w:rFonts w:eastAsia="Times New Roman"/>
        </w:rPr>
        <w:t>Ληξιπρόθεσμες υποχρεώσεις ασφαλισμένων</w:t>
      </w:r>
      <w:bookmarkEnd w:id="107"/>
      <w:bookmarkEnd w:id="108"/>
      <w:bookmarkEnd w:id="109"/>
      <w:bookmarkEnd w:id="110"/>
    </w:p>
    <w:p w14:paraId="0DE8E87A" w14:textId="77777777" w:rsidR="00824F7F" w:rsidRPr="00575A7E" w:rsidRDefault="00824F7F" w:rsidP="003B1BE9">
      <w:pPr>
        <w:spacing w:after="0" w:line="276" w:lineRule="auto"/>
        <w:jc w:val="both"/>
      </w:pPr>
    </w:p>
    <w:p w14:paraId="3B2B5388" w14:textId="77777777" w:rsidR="00824F7F" w:rsidRPr="00575A7E" w:rsidRDefault="00824F7F" w:rsidP="003B1BE9">
      <w:pPr>
        <w:autoSpaceDE w:val="0"/>
        <w:autoSpaceDN w:val="0"/>
        <w:adjustRightInd w:val="0"/>
        <w:spacing w:after="240" w:line="276" w:lineRule="auto"/>
        <w:jc w:val="both"/>
        <w:rPr>
          <w:rFonts w:ascii="Calibri" w:eastAsia="Calibri" w:hAnsi="Calibri" w:cs="Calibri"/>
          <w:color w:val="595959"/>
        </w:rPr>
      </w:pPr>
      <w:r w:rsidRPr="00575A7E">
        <w:rPr>
          <w:rFonts w:ascii="Calibri" w:eastAsia="Calibri" w:hAnsi="Calibri" w:cs="Times New Roman"/>
          <w:color w:val="595959"/>
        </w:rPr>
        <w:t xml:space="preserve">Σύμφωνα με την </w:t>
      </w:r>
      <w:hyperlink r:id="rId72" w:history="1">
        <w:r w:rsidRPr="00575A7E">
          <w:rPr>
            <w:color w:val="595959"/>
            <w:u w:val="single"/>
          </w:rPr>
          <w:t>4</w:t>
        </w:r>
        <w:r w:rsidRPr="00575A7E">
          <w:rPr>
            <w:color w:val="595959"/>
            <w:u w:val="single"/>
            <w:vertAlign w:val="superscript"/>
          </w:rPr>
          <w:t>η</w:t>
        </w:r>
        <w:r w:rsidRPr="00575A7E">
          <w:rPr>
            <w:color w:val="595959"/>
            <w:u w:val="single"/>
          </w:rPr>
          <w:t xml:space="preserve"> Τριμηνιαία Έκθεση</w:t>
        </w:r>
      </w:hyperlink>
      <w:r w:rsidRPr="00575A7E">
        <w:rPr>
          <w:rFonts w:ascii="Calibri" w:eastAsia="Calibri" w:hAnsi="Calibri" w:cs="Times New Roman"/>
          <w:color w:val="595959"/>
        </w:rPr>
        <w:t xml:space="preserve"> Προόδου Έτους 2020 του ΚΕΑΟ, το σύνολο των ληξιπρόθεσμων ασφαλιστικών οφειλών στο τέλος του τέταρτου τριμήνου του 2020 διαμορφώθηκε στα 37,5 δις ευρώ</w:t>
      </w:r>
      <w:r w:rsidRPr="00575A7E">
        <w:rPr>
          <w:rFonts w:ascii="Calibri" w:eastAsia="Calibri" w:hAnsi="Calibri" w:cs="Times New Roman"/>
          <w:color w:val="595959"/>
          <w:vertAlign w:val="superscript"/>
        </w:rPr>
        <w:footnoteReference w:id="6"/>
      </w:r>
      <w:r w:rsidRPr="00575A7E">
        <w:rPr>
          <w:rFonts w:ascii="Calibri" w:eastAsia="Calibri" w:hAnsi="Calibri" w:cs="Times New Roman"/>
          <w:color w:val="595959"/>
        </w:rPr>
        <w:t>, δηλαδή παρουσίασε αύξηση κατά 124,7 εκατ. ευρώ σε σχέση με το προηγούμενο τρίμηνο. Η αύξηση αυτή προέρχεται από την αύξηση των πρόσθετων τελών (κατά 348,8 εκατ. ευρώ), καθώς οι κύριες οφειλές σημείωσαν μείωση κατά 224,1 εκατ. ευρώ.</w:t>
      </w:r>
    </w:p>
    <w:p w14:paraId="08305FA0" w14:textId="644EDC8A" w:rsidR="00824F7F" w:rsidRPr="00575A7E" w:rsidRDefault="00824F7F" w:rsidP="003B1BE9">
      <w:pPr>
        <w:autoSpaceDE w:val="0"/>
        <w:autoSpaceDN w:val="0"/>
        <w:adjustRightInd w:val="0"/>
        <w:spacing w:after="240" w:line="276" w:lineRule="auto"/>
        <w:jc w:val="both"/>
        <w:rPr>
          <w:rFonts w:ascii="Calibri" w:eastAsia="Calibri" w:hAnsi="Calibri" w:cs="Calibri"/>
          <w:color w:val="595959"/>
        </w:rPr>
      </w:pPr>
      <w:r w:rsidRPr="00575A7E">
        <w:rPr>
          <w:rFonts w:ascii="Calibri" w:eastAsia="Calibri" w:hAnsi="Calibri" w:cs="Calibri"/>
          <w:color w:val="595959"/>
        </w:rPr>
        <w:t xml:space="preserve">Η αύξηση των συνολικών οφειλών </w:t>
      </w:r>
      <w:r w:rsidR="00017E42" w:rsidRPr="00575A7E">
        <w:rPr>
          <w:rFonts w:ascii="Calibri" w:eastAsia="Calibri" w:hAnsi="Calibri" w:cs="Calibri"/>
          <w:color w:val="595959"/>
        </w:rPr>
        <w:t xml:space="preserve">προέρχεται από </w:t>
      </w:r>
      <w:r w:rsidRPr="00575A7E">
        <w:rPr>
          <w:rFonts w:ascii="Calibri" w:eastAsia="Calibri" w:hAnsi="Calibri" w:cs="Calibri"/>
          <w:color w:val="595959"/>
        </w:rPr>
        <w:t xml:space="preserve">τις νέες εντάξεις οφειλετών (20.090 οφειλέτες με συνολικές οφειλές ύψους 53,1 εκατ. ευρώ), καθώς και </w:t>
      </w:r>
      <w:r w:rsidR="001C3D87">
        <w:rPr>
          <w:rFonts w:ascii="Calibri" w:eastAsia="Calibri" w:hAnsi="Calibri" w:cs="Calibri"/>
          <w:color w:val="595959"/>
        </w:rPr>
        <w:t>από τη</w:t>
      </w:r>
      <w:r w:rsidR="001C3D87" w:rsidRPr="00575A7E">
        <w:rPr>
          <w:rFonts w:ascii="Calibri" w:eastAsia="Calibri" w:hAnsi="Calibri" w:cs="Calibri"/>
          <w:color w:val="595959"/>
        </w:rPr>
        <w:t xml:space="preserve"> </w:t>
      </w:r>
      <w:r w:rsidRPr="00575A7E">
        <w:rPr>
          <w:rFonts w:ascii="Calibri" w:eastAsia="Calibri" w:hAnsi="Calibri" w:cs="Calibri"/>
          <w:color w:val="595959"/>
        </w:rPr>
        <w:t>δημιουργία νέων οφειλών και την αύξηση των πρόσθετων τελών για τους οφειλέτες που είναι ήδη ενταγμένοι στο ΚΕΑΟ. Από την άλλη μερι</w:t>
      </w:r>
      <w:r w:rsidR="002A5D86">
        <w:rPr>
          <w:rFonts w:ascii="Calibri" w:eastAsia="Calibri" w:hAnsi="Calibri" w:cs="Calibri"/>
          <w:color w:val="595959"/>
        </w:rPr>
        <w:t xml:space="preserve">ά στο τέταρτο τρίμηνο του 2020 </w:t>
      </w:r>
      <w:r w:rsidRPr="00575A7E">
        <w:rPr>
          <w:rFonts w:ascii="Calibri" w:eastAsia="Calibri" w:hAnsi="Calibri" w:cs="Calibri"/>
          <w:color w:val="595959"/>
        </w:rPr>
        <w:t xml:space="preserve">συνεχίστηκαν οι διαγραφές </w:t>
      </w:r>
      <w:r w:rsidRPr="00575A7E">
        <w:rPr>
          <w:rFonts w:ascii="Calibri" w:eastAsia="Calibri" w:hAnsi="Calibri" w:cs="Calibri"/>
          <w:color w:val="595959"/>
        </w:rPr>
        <w:lastRenderedPageBreak/>
        <w:t xml:space="preserve">οφειλών μη μισθωτών βάσει του </w:t>
      </w:r>
      <w:proofErr w:type="spellStart"/>
      <w:r w:rsidRPr="00575A7E">
        <w:rPr>
          <w:rFonts w:ascii="Calibri" w:eastAsia="Calibri" w:hAnsi="Calibri" w:cs="Calibri"/>
          <w:color w:val="595959"/>
        </w:rPr>
        <w:t>επανυπολογισμού</w:t>
      </w:r>
      <w:proofErr w:type="spellEnd"/>
      <w:r w:rsidRPr="00575A7E">
        <w:rPr>
          <w:rFonts w:ascii="Calibri" w:eastAsia="Calibri" w:hAnsi="Calibri" w:cs="Calibri"/>
          <w:color w:val="595959"/>
        </w:rPr>
        <w:t xml:space="preserve"> που προβλέπει ο ν.4611/2019, όπως και οι διαγραφές, μειώσεις, συμψηφισμοί οφειλών και εκπτώσεις προσαυξήσεων λόγω ρυθμίσεων.</w:t>
      </w:r>
    </w:p>
    <w:p w14:paraId="42D14116" w14:textId="410C4221" w:rsidR="00824F7F" w:rsidRPr="00575A7E" w:rsidRDefault="00824F7F" w:rsidP="003B1BE9">
      <w:pPr>
        <w:autoSpaceDE w:val="0"/>
        <w:autoSpaceDN w:val="0"/>
        <w:adjustRightInd w:val="0"/>
        <w:spacing w:after="240" w:line="276" w:lineRule="auto"/>
        <w:jc w:val="both"/>
        <w:rPr>
          <w:rFonts w:ascii="Calibri" w:eastAsia="Calibri" w:hAnsi="Calibri" w:cs="Calibri"/>
          <w:color w:val="595959"/>
        </w:rPr>
      </w:pPr>
      <w:r w:rsidRPr="00575A7E">
        <w:rPr>
          <w:rFonts w:ascii="Calibri" w:eastAsia="Calibri" w:hAnsi="Calibri" w:cs="Times New Roman"/>
          <w:color w:val="595959"/>
        </w:rPr>
        <w:t>Σε ετήσια βάση</w:t>
      </w:r>
      <w:r w:rsidR="004A53D1" w:rsidRPr="00575A7E">
        <w:rPr>
          <w:rFonts w:ascii="Calibri" w:eastAsia="Calibri" w:hAnsi="Calibri" w:cs="Times New Roman"/>
          <w:color w:val="595959"/>
        </w:rPr>
        <w:t>,</w:t>
      </w:r>
      <w:r w:rsidRPr="00575A7E">
        <w:rPr>
          <w:rFonts w:ascii="Calibri" w:eastAsia="Calibri" w:hAnsi="Calibri" w:cs="Calibri"/>
          <w:color w:val="595959"/>
        </w:rPr>
        <w:t xml:space="preserve"> αύξηση παρουσίασε ο αριθμός των μητρώων των οφειλετών κατά 6.593 (ενώ σε σχέση με το προηγούμενο τρίμηνο ο αριθμός των μητρώων μειώθηκε κατά 31.971)</w:t>
      </w:r>
      <w:r w:rsidRPr="00575A7E">
        <w:rPr>
          <w:rFonts w:ascii="Calibri" w:eastAsia="Calibri" w:hAnsi="Calibri" w:cs="Times New Roman"/>
          <w:color w:val="595959"/>
        </w:rPr>
        <w:t xml:space="preserve">, </w:t>
      </w:r>
      <w:r w:rsidRPr="00575A7E">
        <w:rPr>
          <w:rFonts w:ascii="Calibri" w:eastAsia="Calibri" w:hAnsi="Calibri" w:cs="Calibri"/>
          <w:color w:val="595959"/>
        </w:rPr>
        <w:t>με αποτέλεσμα</w:t>
      </w:r>
      <w:r w:rsidRPr="00575A7E">
        <w:rPr>
          <w:rFonts w:ascii="Calibri" w:eastAsia="Calibri" w:hAnsi="Calibri" w:cs="Times New Roman"/>
          <w:color w:val="595959"/>
        </w:rPr>
        <w:t xml:space="preserve"> ο συνολικός αριθμός των μητρώων με οφειλές σε ασφαλιστικά ταμεία να διαμορφώνεται στο τέλος του 2020 σε </w:t>
      </w:r>
      <w:r w:rsidRPr="00575A7E">
        <w:rPr>
          <w:rFonts w:ascii="Calibri" w:eastAsia="Calibri" w:hAnsi="Calibri" w:cs="Calibri"/>
          <w:color w:val="595959"/>
        </w:rPr>
        <w:t>2.013.900 μητρώα</w:t>
      </w:r>
      <w:r w:rsidRPr="00575A7E">
        <w:rPr>
          <w:rFonts w:ascii="Calibri" w:eastAsia="Calibri" w:hAnsi="Calibri" w:cs="Times New Roman"/>
          <w:color w:val="595959"/>
        </w:rPr>
        <w:t>. Το μεγαλύτερο μέρος της αύξησης των μητρώων (κατά 21.255) προέρχεται από την κατηγορία οφειλής μέχρι 50 ευρώ, ενώ μείωση κατά 31.667 παρουσιάζει ο αριθμός των μητρώων που αφορά σε οφειλές από 50 έως 10.000 ευρώ.</w:t>
      </w:r>
    </w:p>
    <w:p w14:paraId="70BAB92A" w14:textId="77777777" w:rsidR="00824F7F" w:rsidRPr="00575A7E" w:rsidRDefault="00824F7F" w:rsidP="003B1BE9">
      <w:pPr>
        <w:autoSpaceDE w:val="0"/>
        <w:autoSpaceDN w:val="0"/>
        <w:adjustRightInd w:val="0"/>
        <w:spacing w:after="0" w:line="276" w:lineRule="auto"/>
        <w:jc w:val="both"/>
        <w:rPr>
          <w:rFonts w:ascii="Calibri" w:eastAsia="Calibri" w:hAnsi="Calibri" w:cs="Times New Roman"/>
          <w:color w:val="595959"/>
        </w:rPr>
      </w:pPr>
      <w:r w:rsidRPr="00575A7E">
        <w:rPr>
          <w:rFonts w:ascii="Calibri" w:eastAsia="Calibri" w:hAnsi="Calibri" w:cs="Calibri"/>
          <w:color w:val="595959"/>
        </w:rPr>
        <w:t>Επιπλέον</w:t>
      </w:r>
      <w:r w:rsidRPr="00575A7E">
        <w:rPr>
          <w:rFonts w:ascii="Calibri" w:eastAsia="Calibri" w:hAnsi="Calibri" w:cs="Times New Roman"/>
          <w:color w:val="595959"/>
        </w:rPr>
        <w:t xml:space="preserve"> αύξηση παρατηρείται στις συνολικές οφειλές κατά περίπου 2,1 δις ευρώ σε σχέση με την αντίστοιχη περίοδο του προηγούμενου έτους, η οποία οφείλεται κυρίως στην αύξηση των πρόσθετων τελών (κατά 1,5 δις ευρώ), και σε μικρότερο βαθμό στην αύξηση των κύριων οφειλών κατά 596,6 εκατ. ευρώ. Αναλυτικότερα, στην κατηγορία οφειλής μεταξύ 500 και 10.000 ευρώ, στην οποία καταγράφεται το μεγαλύτερο μέρος (58%) των μητρώων, παρατηρείται η μεγαλύτερη μείωση κύριων οφειλών προς τα ασφαλιστικά ταμεία (κατά 98,7 εκατ. ευρώ). Αντίθετα, στην κατηγορία οφειλής μεταξύ 100.000 και 1.000.000 ευρώ εντοπίζεται η μεγαλύτερη αύξηση του ύψους των κύριων οφειλών (κατά 475,2 εκατ. ευρώ).</w:t>
      </w:r>
    </w:p>
    <w:p w14:paraId="465E67BC" w14:textId="77777777" w:rsidR="00824F7F" w:rsidRPr="00575A7E" w:rsidRDefault="00824F7F" w:rsidP="003B1BE9">
      <w:pPr>
        <w:autoSpaceDE w:val="0"/>
        <w:autoSpaceDN w:val="0"/>
        <w:adjustRightInd w:val="0"/>
        <w:spacing w:after="0" w:line="276" w:lineRule="auto"/>
        <w:jc w:val="both"/>
      </w:pPr>
    </w:p>
    <w:p w14:paraId="2EBE6B4B" w14:textId="4E57E863" w:rsidR="00824F7F" w:rsidRPr="00575A7E" w:rsidRDefault="00D960BC" w:rsidP="00D960BC">
      <w:pPr>
        <w:pStyle w:val="ae"/>
        <w:jc w:val="center"/>
      </w:pPr>
      <w:bookmarkStart w:id="111" w:name="_Toc67396685"/>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6</w:t>
      </w:r>
      <w:r w:rsidR="0096217C">
        <w:rPr>
          <w:noProof/>
        </w:rPr>
        <w:fldChar w:fldCharType="end"/>
      </w:r>
      <w:r w:rsidR="00824F7F" w:rsidRPr="00575A7E">
        <w:t xml:space="preserve"> Κατανομή πλήθους μητρώων οφειλετών με χρέη προς τους Φορείς Κοινωνικής Ασφάλισης</w:t>
      </w:r>
      <w:r w:rsidR="00824F7F" w:rsidRPr="00575A7E">
        <w:rPr>
          <w:rStyle w:val="a5"/>
        </w:rPr>
        <w:footnoteReference w:id="7"/>
      </w:r>
      <w:bookmarkEnd w:id="111"/>
    </w:p>
    <w:tbl>
      <w:tblPr>
        <w:tblW w:w="6383" w:type="dxa"/>
        <w:jc w:val="center"/>
        <w:tblLook w:val="04A0" w:firstRow="1" w:lastRow="0" w:firstColumn="1" w:lastColumn="0" w:noHBand="0" w:noVBand="1"/>
      </w:tblPr>
      <w:tblGrid>
        <w:gridCol w:w="1649"/>
        <w:gridCol w:w="1470"/>
        <w:gridCol w:w="1843"/>
        <w:gridCol w:w="1421"/>
      </w:tblGrid>
      <w:tr w:rsidR="00824F7F" w:rsidRPr="00575A7E" w14:paraId="386203C8" w14:textId="77777777" w:rsidTr="009142DF">
        <w:trPr>
          <w:trHeight w:val="873"/>
          <w:jc w:val="center"/>
        </w:trPr>
        <w:tc>
          <w:tcPr>
            <w:tcW w:w="1649" w:type="dxa"/>
            <w:tcBorders>
              <w:top w:val="nil"/>
              <w:left w:val="nil"/>
              <w:bottom w:val="single" w:sz="4" w:space="0" w:color="auto"/>
              <w:right w:val="nil"/>
            </w:tcBorders>
            <w:shd w:val="clear" w:color="auto" w:fill="auto"/>
            <w:vAlign w:val="center"/>
            <w:hideMark/>
          </w:tcPr>
          <w:p w14:paraId="5A26E779"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 xml:space="preserve">Εύρος οφειλής (ευρώ) </w:t>
            </w:r>
          </w:p>
        </w:tc>
        <w:tc>
          <w:tcPr>
            <w:tcW w:w="1470" w:type="dxa"/>
            <w:tcBorders>
              <w:top w:val="nil"/>
              <w:left w:val="nil"/>
              <w:bottom w:val="single" w:sz="4" w:space="0" w:color="auto"/>
              <w:right w:val="nil"/>
            </w:tcBorders>
            <w:shd w:val="clear" w:color="auto" w:fill="auto"/>
            <w:vAlign w:val="center"/>
            <w:hideMark/>
          </w:tcPr>
          <w:p w14:paraId="218AF4E2"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Πλήθος μητρώων οφειλετών τέταρτο τρίμηνο 2019</w:t>
            </w:r>
          </w:p>
        </w:tc>
        <w:tc>
          <w:tcPr>
            <w:tcW w:w="1843" w:type="dxa"/>
            <w:tcBorders>
              <w:top w:val="nil"/>
              <w:left w:val="nil"/>
              <w:bottom w:val="single" w:sz="4" w:space="0" w:color="auto"/>
              <w:right w:val="nil"/>
            </w:tcBorders>
            <w:shd w:val="clear" w:color="auto" w:fill="auto"/>
            <w:vAlign w:val="center"/>
            <w:hideMark/>
          </w:tcPr>
          <w:p w14:paraId="6AE15977" w14:textId="77777777" w:rsidR="00824F7F" w:rsidRPr="00575A7E" w:rsidRDefault="00824F7F" w:rsidP="003B1BE9">
            <w:pPr>
              <w:spacing w:after="0" w:line="276" w:lineRule="auto"/>
              <w:ind w:left="34"/>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Πλήθος μητρώων οφειλετών τέταρτο τρίμηνο 2020</w:t>
            </w:r>
          </w:p>
        </w:tc>
        <w:tc>
          <w:tcPr>
            <w:tcW w:w="1421" w:type="dxa"/>
            <w:tcBorders>
              <w:top w:val="nil"/>
              <w:left w:val="nil"/>
              <w:bottom w:val="single" w:sz="4" w:space="0" w:color="auto"/>
              <w:right w:val="nil"/>
            </w:tcBorders>
            <w:shd w:val="clear" w:color="auto" w:fill="auto"/>
            <w:vAlign w:val="center"/>
            <w:hideMark/>
          </w:tcPr>
          <w:p w14:paraId="6232227D"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Μεταβολή πλήθους μητρώων οφειλετών</w:t>
            </w:r>
          </w:p>
        </w:tc>
      </w:tr>
      <w:tr w:rsidR="00824F7F" w:rsidRPr="00575A7E" w14:paraId="56AD0F9E" w14:textId="77777777" w:rsidTr="009142DF">
        <w:trPr>
          <w:trHeight w:val="218"/>
          <w:jc w:val="center"/>
        </w:trPr>
        <w:tc>
          <w:tcPr>
            <w:tcW w:w="1649" w:type="dxa"/>
            <w:tcBorders>
              <w:top w:val="nil"/>
              <w:left w:val="nil"/>
              <w:bottom w:val="nil"/>
            </w:tcBorders>
            <w:shd w:val="clear" w:color="auto" w:fill="auto"/>
            <w:noWrap/>
            <w:vAlign w:val="bottom"/>
          </w:tcPr>
          <w:p w14:paraId="2337D87D"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&lt;50</w:t>
            </w:r>
          </w:p>
        </w:tc>
        <w:tc>
          <w:tcPr>
            <w:tcW w:w="1470" w:type="dxa"/>
            <w:tcBorders>
              <w:top w:val="single" w:sz="4" w:space="0" w:color="auto"/>
            </w:tcBorders>
            <w:shd w:val="clear" w:color="auto" w:fill="auto"/>
            <w:noWrap/>
            <w:vAlign w:val="bottom"/>
          </w:tcPr>
          <w:p w14:paraId="3078FC2B"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87.814</w:t>
            </w:r>
          </w:p>
        </w:tc>
        <w:tc>
          <w:tcPr>
            <w:tcW w:w="1843" w:type="dxa"/>
            <w:tcBorders>
              <w:top w:val="single" w:sz="4" w:space="0" w:color="auto"/>
            </w:tcBorders>
            <w:shd w:val="clear" w:color="auto" w:fill="auto"/>
            <w:noWrap/>
            <w:vAlign w:val="bottom"/>
          </w:tcPr>
          <w:p w14:paraId="2C6EBF6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109.069</w:t>
            </w:r>
          </w:p>
        </w:tc>
        <w:tc>
          <w:tcPr>
            <w:tcW w:w="1421" w:type="dxa"/>
            <w:tcBorders>
              <w:top w:val="nil"/>
              <w:left w:val="nil"/>
              <w:bottom w:val="nil"/>
              <w:right w:val="nil"/>
            </w:tcBorders>
            <w:shd w:val="clear" w:color="auto" w:fill="auto"/>
            <w:noWrap/>
          </w:tcPr>
          <w:p w14:paraId="2FB1E50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21.255</w:t>
            </w:r>
          </w:p>
        </w:tc>
      </w:tr>
      <w:tr w:rsidR="00824F7F" w:rsidRPr="00575A7E" w14:paraId="35DD6FC5" w14:textId="77777777" w:rsidTr="009142DF">
        <w:trPr>
          <w:trHeight w:val="218"/>
          <w:jc w:val="center"/>
        </w:trPr>
        <w:tc>
          <w:tcPr>
            <w:tcW w:w="1649" w:type="dxa"/>
            <w:tcBorders>
              <w:top w:val="nil"/>
              <w:left w:val="nil"/>
              <w:bottom w:val="nil"/>
            </w:tcBorders>
            <w:shd w:val="clear" w:color="auto" w:fill="auto"/>
            <w:noWrap/>
            <w:vAlign w:val="bottom"/>
          </w:tcPr>
          <w:p w14:paraId="483D0FD1"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50-500</w:t>
            </w:r>
          </w:p>
        </w:tc>
        <w:tc>
          <w:tcPr>
            <w:tcW w:w="1470" w:type="dxa"/>
            <w:tcBorders>
              <w:top w:val="nil"/>
            </w:tcBorders>
            <w:shd w:val="clear" w:color="auto" w:fill="auto"/>
            <w:noWrap/>
            <w:vAlign w:val="bottom"/>
          </w:tcPr>
          <w:p w14:paraId="6994A295"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227.645</w:t>
            </w:r>
          </w:p>
        </w:tc>
        <w:tc>
          <w:tcPr>
            <w:tcW w:w="1843" w:type="dxa"/>
            <w:tcBorders>
              <w:top w:val="nil"/>
            </w:tcBorders>
            <w:shd w:val="clear" w:color="auto" w:fill="auto"/>
            <w:noWrap/>
            <w:vAlign w:val="bottom"/>
          </w:tcPr>
          <w:p w14:paraId="062E3048"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211.001</w:t>
            </w:r>
          </w:p>
        </w:tc>
        <w:tc>
          <w:tcPr>
            <w:tcW w:w="1421" w:type="dxa"/>
            <w:tcBorders>
              <w:top w:val="nil"/>
              <w:left w:val="nil"/>
              <w:bottom w:val="nil"/>
              <w:right w:val="nil"/>
            </w:tcBorders>
            <w:shd w:val="clear" w:color="auto" w:fill="auto"/>
            <w:noWrap/>
          </w:tcPr>
          <w:p w14:paraId="34FF013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-16.644</w:t>
            </w:r>
          </w:p>
        </w:tc>
      </w:tr>
      <w:tr w:rsidR="00824F7F" w:rsidRPr="00575A7E" w14:paraId="031DC575" w14:textId="77777777" w:rsidTr="009142DF">
        <w:trPr>
          <w:trHeight w:val="218"/>
          <w:jc w:val="center"/>
        </w:trPr>
        <w:tc>
          <w:tcPr>
            <w:tcW w:w="1649" w:type="dxa"/>
            <w:tcBorders>
              <w:top w:val="nil"/>
              <w:left w:val="nil"/>
              <w:bottom w:val="nil"/>
            </w:tcBorders>
            <w:shd w:val="clear" w:color="auto" w:fill="auto"/>
            <w:noWrap/>
            <w:vAlign w:val="bottom"/>
            <w:hideMark/>
          </w:tcPr>
          <w:p w14:paraId="0B15B089"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500-10.000</w:t>
            </w:r>
          </w:p>
        </w:tc>
        <w:tc>
          <w:tcPr>
            <w:tcW w:w="1470" w:type="dxa"/>
            <w:tcBorders>
              <w:top w:val="nil"/>
            </w:tcBorders>
            <w:shd w:val="clear" w:color="auto" w:fill="auto"/>
            <w:noWrap/>
            <w:vAlign w:val="bottom"/>
          </w:tcPr>
          <w:p w14:paraId="5A2234A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1.182.755</w:t>
            </w:r>
          </w:p>
        </w:tc>
        <w:tc>
          <w:tcPr>
            <w:tcW w:w="1843" w:type="dxa"/>
            <w:tcBorders>
              <w:top w:val="nil"/>
            </w:tcBorders>
            <w:shd w:val="clear" w:color="auto" w:fill="auto"/>
            <w:noWrap/>
            <w:vAlign w:val="bottom"/>
          </w:tcPr>
          <w:p w14:paraId="6D4C114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1.167.732</w:t>
            </w:r>
          </w:p>
        </w:tc>
        <w:tc>
          <w:tcPr>
            <w:tcW w:w="1421" w:type="dxa"/>
            <w:tcBorders>
              <w:top w:val="nil"/>
              <w:left w:val="nil"/>
              <w:bottom w:val="nil"/>
              <w:right w:val="nil"/>
            </w:tcBorders>
            <w:shd w:val="clear" w:color="auto" w:fill="auto"/>
            <w:noWrap/>
          </w:tcPr>
          <w:p w14:paraId="1A3F2291"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-15.023</w:t>
            </w:r>
          </w:p>
        </w:tc>
      </w:tr>
      <w:tr w:rsidR="00824F7F" w:rsidRPr="00575A7E" w14:paraId="207C7910" w14:textId="77777777" w:rsidTr="009142DF">
        <w:trPr>
          <w:trHeight w:val="218"/>
          <w:jc w:val="center"/>
        </w:trPr>
        <w:tc>
          <w:tcPr>
            <w:tcW w:w="1649" w:type="dxa"/>
            <w:tcBorders>
              <w:top w:val="nil"/>
              <w:left w:val="nil"/>
              <w:bottom w:val="nil"/>
            </w:tcBorders>
            <w:shd w:val="clear" w:color="auto" w:fill="auto"/>
            <w:noWrap/>
            <w:vAlign w:val="bottom"/>
            <w:hideMark/>
          </w:tcPr>
          <w:p w14:paraId="282CD67F"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10.000-100.000</w:t>
            </w:r>
          </w:p>
        </w:tc>
        <w:tc>
          <w:tcPr>
            <w:tcW w:w="1470" w:type="dxa"/>
            <w:tcBorders>
              <w:top w:val="nil"/>
            </w:tcBorders>
            <w:shd w:val="clear" w:color="auto" w:fill="auto"/>
            <w:noWrap/>
            <w:vAlign w:val="bottom"/>
          </w:tcPr>
          <w:p w14:paraId="5B2D9A6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463.460</w:t>
            </w:r>
          </w:p>
        </w:tc>
        <w:tc>
          <w:tcPr>
            <w:tcW w:w="1843" w:type="dxa"/>
            <w:tcBorders>
              <w:top w:val="nil"/>
            </w:tcBorders>
            <w:shd w:val="clear" w:color="auto" w:fill="auto"/>
            <w:noWrap/>
            <w:vAlign w:val="bottom"/>
          </w:tcPr>
          <w:p w14:paraId="7F8A6C1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474.986</w:t>
            </w:r>
          </w:p>
        </w:tc>
        <w:tc>
          <w:tcPr>
            <w:tcW w:w="1421" w:type="dxa"/>
            <w:tcBorders>
              <w:top w:val="nil"/>
              <w:left w:val="nil"/>
              <w:bottom w:val="nil"/>
              <w:right w:val="nil"/>
            </w:tcBorders>
            <w:shd w:val="clear" w:color="auto" w:fill="auto"/>
            <w:noWrap/>
          </w:tcPr>
          <w:p w14:paraId="7C60968C" w14:textId="77777777" w:rsidR="00824F7F" w:rsidRPr="00575A7E" w:rsidRDefault="00824F7F" w:rsidP="003B1BE9">
            <w:pPr>
              <w:spacing w:after="0" w:line="276" w:lineRule="auto"/>
              <w:ind w:left="-108"/>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11.526</w:t>
            </w:r>
          </w:p>
        </w:tc>
      </w:tr>
      <w:tr w:rsidR="00824F7F" w:rsidRPr="00575A7E" w14:paraId="3900A030" w14:textId="77777777" w:rsidTr="009142DF">
        <w:trPr>
          <w:trHeight w:val="218"/>
          <w:jc w:val="center"/>
        </w:trPr>
        <w:tc>
          <w:tcPr>
            <w:tcW w:w="1649" w:type="dxa"/>
            <w:tcBorders>
              <w:top w:val="nil"/>
              <w:left w:val="nil"/>
              <w:bottom w:val="nil"/>
            </w:tcBorders>
            <w:shd w:val="clear" w:color="auto" w:fill="auto"/>
            <w:noWrap/>
            <w:vAlign w:val="bottom"/>
            <w:hideMark/>
          </w:tcPr>
          <w:p w14:paraId="623D2C8F"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100.000-1.000.000</w:t>
            </w:r>
          </w:p>
        </w:tc>
        <w:tc>
          <w:tcPr>
            <w:tcW w:w="1470" w:type="dxa"/>
            <w:tcBorders>
              <w:top w:val="nil"/>
            </w:tcBorders>
            <w:shd w:val="clear" w:color="auto" w:fill="auto"/>
            <w:noWrap/>
            <w:vAlign w:val="bottom"/>
          </w:tcPr>
          <w:p w14:paraId="5FE34A4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43.691</w:t>
            </w:r>
          </w:p>
        </w:tc>
        <w:tc>
          <w:tcPr>
            <w:tcW w:w="1843" w:type="dxa"/>
            <w:tcBorders>
              <w:top w:val="nil"/>
            </w:tcBorders>
            <w:shd w:val="clear" w:color="auto" w:fill="auto"/>
            <w:noWrap/>
            <w:vAlign w:val="bottom"/>
          </w:tcPr>
          <w:p w14:paraId="2DA682C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49.029</w:t>
            </w:r>
          </w:p>
        </w:tc>
        <w:tc>
          <w:tcPr>
            <w:tcW w:w="1421" w:type="dxa"/>
            <w:tcBorders>
              <w:top w:val="nil"/>
              <w:left w:val="nil"/>
              <w:bottom w:val="nil"/>
              <w:right w:val="nil"/>
            </w:tcBorders>
            <w:shd w:val="clear" w:color="auto" w:fill="auto"/>
            <w:noWrap/>
          </w:tcPr>
          <w:p w14:paraId="67F4E4F6"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5.338</w:t>
            </w:r>
          </w:p>
        </w:tc>
      </w:tr>
      <w:tr w:rsidR="00824F7F" w:rsidRPr="00575A7E" w14:paraId="4BF6FA60" w14:textId="77777777" w:rsidTr="009142DF">
        <w:trPr>
          <w:trHeight w:val="218"/>
          <w:jc w:val="center"/>
        </w:trPr>
        <w:tc>
          <w:tcPr>
            <w:tcW w:w="1649" w:type="dxa"/>
            <w:tcBorders>
              <w:top w:val="nil"/>
              <w:left w:val="nil"/>
            </w:tcBorders>
            <w:shd w:val="clear" w:color="auto" w:fill="auto"/>
            <w:noWrap/>
            <w:vAlign w:val="bottom"/>
            <w:hideMark/>
          </w:tcPr>
          <w:p w14:paraId="680E1DB6"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&gt;1.000.000</w:t>
            </w:r>
          </w:p>
        </w:tc>
        <w:tc>
          <w:tcPr>
            <w:tcW w:w="1470" w:type="dxa"/>
            <w:tcBorders>
              <w:top w:val="nil"/>
            </w:tcBorders>
            <w:shd w:val="clear" w:color="auto" w:fill="auto"/>
            <w:noWrap/>
            <w:vAlign w:val="bottom"/>
          </w:tcPr>
          <w:p w14:paraId="0096CBE1"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1.942</w:t>
            </w:r>
          </w:p>
        </w:tc>
        <w:tc>
          <w:tcPr>
            <w:tcW w:w="1843" w:type="dxa"/>
            <w:tcBorders>
              <w:top w:val="nil"/>
            </w:tcBorders>
            <w:shd w:val="clear" w:color="auto" w:fill="auto"/>
            <w:noWrap/>
            <w:vAlign w:val="bottom"/>
          </w:tcPr>
          <w:p w14:paraId="3418146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2.083</w:t>
            </w:r>
          </w:p>
        </w:tc>
        <w:tc>
          <w:tcPr>
            <w:tcW w:w="1421" w:type="dxa"/>
            <w:tcBorders>
              <w:top w:val="nil"/>
              <w:left w:val="nil"/>
              <w:right w:val="nil"/>
            </w:tcBorders>
            <w:shd w:val="clear" w:color="auto" w:fill="auto"/>
            <w:noWrap/>
          </w:tcPr>
          <w:p w14:paraId="1AD3D74A"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141</w:t>
            </w:r>
          </w:p>
        </w:tc>
      </w:tr>
      <w:tr w:rsidR="00824F7F" w:rsidRPr="00575A7E" w14:paraId="5798699C" w14:textId="77777777" w:rsidTr="009142DF">
        <w:trPr>
          <w:trHeight w:val="218"/>
          <w:jc w:val="center"/>
        </w:trPr>
        <w:tc>
          <w:tcPr>
            <w:tcW w:w="1649" w:type="dxa"/>
            <w:tcBorders>
              <w:top w:val="nil"/>
              <w:left w:val="nil"/>
              <w:bottom w:val="single" w:sz="4" w:space="0" w:color="auto"/>
            </w:tcBorders>
            <w:shd w:val="clear" w:color="auto" w:fill="auto"/>
            <w:noWrap/>
            <w:vAlign w:val="bottom"/>
            <w:hideMark/>
          </w:tcPr>
          <w:p w14:paraId="5CF017D1" w14:textId="77777777" w:rsidR="00824F7F" w:rsidRPr="00575A7E" w:rsidRDefault="00824F7F" w:rsidP="003B1BE9">
            <w:pPr>
              <w:spacing w:after="0" w:line="276" w:lineRule="auto"/>
              <w:rPr>
                <w:rFonts w:ascii="Calibri" w:eastAsia="Times New Roman" w:hAnsi="Calibri" w:cs="Times New Roman"/>
                <w:b/>
                <w:bCs/>
                <w:color w:val="595959"/>
                <w:sz w:val="18"/>
                <w:szCs w:val="18"/>
                <w:lang w:eastAsia="el-GR"/>
              </w:rPr>
            </w:pPr>
            <w:r w:rsidRPr="00575A7E">
              <w:rPr>
                <w:rFonts w:ascii="Calibri" w:eastAsia="Times New Roman" w:hAnsi="Calibri" w:cs="Times New Roman"/>
                <w:b/>
                <w:bCs/>
                <w:color w:val="595959"/>
                <w:sz w:val="18"/>
                <w:szCs w:val="18"/>
                <w:lang w:eastAsia="el-GR"/>
              </w:rPr>
              <w:t>Σύνολο</w:t>
            </w:r>
          </w:p>
        </w:tc>
        <w:tc>
          <w:tcPr>
            <w:tcW w:w="1470" w:type="dxa"/>
            <w:tcBorders>
              <w:top w:val="nil"/>
              <w:bottom w:val="single" w:sz="4" w:space="0" w:color="auto"/>
            </w:tcBorders>
            <w:shd w:val="clear" w:color="auto" w:fill="auto"/>
            <w:noWrap/>
            <w:vAlign w:val="bottom"/>
          </w:tcPr>
          <w:p w14:paraId="01CE947B" w14:textId="77777777" w:rsidR="00824F7F" w:rsidRPr="00575A7E" w:rsidRDefault="00824F7F" w:rsidP="003B1BE9">
            <w:pPr>
              <w:spacing w:after="0" w:line="276" w:lineRule="auto"/>
              <w:jc w:val="center"/>
              <w:rPr>
                <w:rFonts w:ascii="Calibri" w:eastAsia="Times New Roman" w:hAnsi="Calibri" w:cs="Times New Roman"/>
                <w:b/>
                <w:bCs/>
                <w:color w:val="595959"/>
                <w:sz w:val="18"/>
                <w:szCs w:val="18"/>
                <w:lang w:eastAsia="el-GR"/>
              </w:rPr>
            </w:pPr>
            <w:r w:rsidRPr="00575A7E">
              <w:rPr>
                <w:rFonts w:ascii="Calibri" w:eastAsia="Times New Roman" w:hAnsi="Calibri" w:cs="Times New Roman"/>
                <w:b/>
                <w:bCs/>
                <w:color w:val="595959"/>
                <w:sz w:val="18"/>
                <w:szCs w:val="18"/>
                <w:lang w:eastAsia="el-GR"/>
              </w:rPr>
              <w:t>2.007.307</w:t>
            </w:r>
          </w:p>
        </w:tc>
        <w:tc>
          <w:tcPr>
            <w:tcW w:w="1843" w:type="dxa"/>
            <w:tcBorders>
              <w:top w:val="nil"/>
              <w:bottom w:val="single" w:sz="4" w:space="0" w:color="auto"/>
            </w:tcBorders>
            <w:shd w:val="clear" w:color="auto" w:fill="auto"/>
            <w:noWrap/>
            <w:vAlign w:val="bottom"/>
          </w:tcPr>
          <w:p w14:paraId="6D22E735"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2.013.900</w:t>
            </w:r>
          </w:p>
        </w:tc>
        <w:tc>
          <w:tcPr>
            <w:tcW w:w="1421" w:type="dxa"/>
            <w:tcBorders>
              <w:top w:val="nil"/>
              <w:left w:val="nil"/>
              <w:bottom w:val="single" w:sz="4" w:space="0" w:color="auto"/>
              <w:right w:val="nil"/>
            </w:tcBorders>
            <w:shd w:val="clear" w:color="auto" w:fill="auto"/>
            <w:noWrap/>
          </w:tcPr>
          <w:p w14:paraId="6F0CC2C1"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6.593</w:t>
            </w:r>
          </w:p>
        </w:tc>
      </w:tr>
      <w:tr w:rsidR="00824F7F" w:rsidRPr="00575A7E" w14:paraId="74DB611D" w14:textId="77777777" w:rsidTr="009142DF">
        <w:trPr>
          <w:trHeight w:val="218"/>
          <w:jc w:val="center"/>
        </w:trPr>
        <w:tc>
          <w:tcPr>
            <w:tcW w:w="1649" w:type="dxa"/>
            <w:tcBorders>
              <w:top w:val="single" w:sz="4" w:space="0" w:color="auto"/>
              <w:left w:val="nil"/>
              <w:right w:val="nil"/>
            </w:tcBorders>
            <w:shd w:val="clear" w:color="auto" w:fill="auto"/>
            <w:noWrap/>
            <w:vAlign w:val="bottom"/>
          </w:tcPr>
          <w:p w14:paraId="0D187D7C" w14:textId="77777777" w:rsidR="00824F7F" w:rsidRPr="00575A7E" w:rsidRDefault="00824F7F" w:rsidP="003B1BE9">
            <w:pPr>
              <w:spacing w:after="0" w:line="276" w:lineRule="auto"/>
              <w:rPr>
                <w:rFonts w:ascii="Calibri" w:eastAsia="Times New Roman" w:hAnsi="Calibri" w:cs="Times New Roman"/>
                <w:bCs/>
                <w:color w:val="595959"/>
                <w:sz w:val="16"/>
                <w:szCs w:val="16"/>
                <w:lang w:val="en-US" w:eastAsia="el-GR"/>
              </w:rPr>
            </w:pPr>
            <w:r w:rsidRPr="00575A7E">
              <w:rPr>
                <w:rFonts w:ascii="Calibri" w:eastAsia="Times New Roman" w:hAnsi="Calibri" w:cs="Times New Roman"/>
                <w:bCs/>
                <w:color w:val="595959"/>
                <w:sz w:val="16"/>
                <w:szCs w:val="16"/>
                <w:lang w:eastAsia="el-GR"/>
              </w:rPr>
              <w:t xml:space="preserve">Πηγή: </w:t>
            </w:r>
            <w:r w:rsidRPr="00575A7E">
              <w:rPr>
                <w:rFonts w:ascii="Calibri" w:eastAsia="Times New Roman" w:hAnsi="Calibri" w:cs="Times New Roman"/>
                <w:bCs/>
                <w:color w:val="595959"/>
                <w:sz w:val="16"/>
                <w:szCs w:val="16"/>
                <w:lang w:val="en-US" w:eastAsia="el-GR"/>
              </w:rPr>
              <w:t>KEAO</w:t>
            </w:r>
          </w:p>
        </w:tc>
        <w:tc>
          <w:tcPr>
            <w:tcW w:w="1470" w:type="dxa"/>
            <w:tcBorders>
              <w:top w:val="single" w:sz="4" w:space="0" w:color="auto"/>
              <w:left w:val="nil"/>
              <w:right w:val="nil"/>
            </w:tcBorders>
            <w:shd w:val="clear" w:color="auto" w:fill="auto"/>
            <w:noWrap/>
            <w:vAlign w:val="bottom"/>
          </w:tcPr>
          <w:p w14:paraId="7F92C287"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843" w:type="dxa"/>
            <w:tcBorders>
              <w:top w:val="single" w:sz="4" w:space="0" w:color="auto"/>
              <w:left w:val="nil"/>
              <w:right w:val="nil"/>
            </w:tcBorders>
            <w:shd w:val="clear" w:color="auto" w:fill="auto"/>
            <w:noWrap/>
            <w:vAlign w:val="bottom"/>
          </w:tcPr>
          <w:p w14:paraId="3C3DB5FF"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421" w:type="dxa"/>
            <w:tcBorders>
              <w:top w:val="single" w:sz="4" w:space="0" w:color="auto"/>
              <w:left w:val="nil"/>
              <w:right w:val="nil"/>
            </w:tcBorders>
            <w:shd w:val="clear" w:color="auto" w:fill="auto"/>
            <w:noWrap/>
            <w:vAlign w:val="bottom"/>
          </w:tcPr>
          <w:p w14:paraId="267BC258"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r>
    </w:tbl>
    <w:p w14:paraId="1F2989C0" w14:textId="23475483" w:rsidR="009926BC" w:rsidRDefault="009926BC" w:rsidP="003B1BE9">
      <w:pPr>
        <w:pStyle w:val="ae"/>
        <w:keepNext/>
        <w:spacing w:after="0" w:line="276" w:lineRule="auto"/>
        <w:jc w:val="center"/>
        <w:rPr>
          <w:i w:val="0"/>
          <w:iCs w:val="0"/>
          <w:sz w:val="22"/>
          <w:szCs w:val="22"/>
        </w:rPr>
      </w:pPr>
    </w:p>
    <w:p w14:paraId="0281D8EB" w14:textId="77777777" w:rsidR="009926BC" w:rsidRDefault="009926BC">
      <w:pPr>
        <w:rPr>
          <w:color w:val="44546A" w:themeColor="text2"/>
        </w:rPr>
      </w:pPr>
      <w:r>
        <w:rPr>
          <w:i/>
          <w:iCs/>
        </w:rPr>
        <w:br w:type="page"/>
      </w:r>
    </w:p>
    <w:p w14:paraId="4FAFB88A" w14:textId="77777777" w:rsidR="002C7501" w:rsidRPr="00575A7E" w:rsidRDefault="002C7501" w:rsidP="003B1BE9">
      <w:pPr>
        <w:pStyle w:val="ae"/>
        <w:keepNext/>
        <w:spacing w:after="0" w:line="276" w:lineRule="auto"/>
        <w:jc w:val="center"/>
        <w:rPr>
          <w:i w:val="0"/>
          <w:iCs w:val="0"/>
          <w:sz w:val="22"/>
          <w:szCs w:val="22"/>
        </w:rPr>
      </w:pPr>
    </w:p>
    <w:p w14:paraId="17965A1A" w14:textId="7D55A507" w:rsidR="002C7501" w:rsidRPr="00575A7E" w:rsidRDefault="00D960BC" w:rsidP="00D960BC">
      <w:pPr>
        <w:pStyle w:val="ae"/>
        <w:jc w:val="center"/>
      </w:pPr>
      <w:bookmarkStart w:id="112" w:name="_Toc67396686"/>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7</w:t>
      </w:r>
      <w:r w:rsidR="0096217C">
        <w:rPr>
          <w:noProof/>
        </w:rPr>
        <w:fldChar w:fldCharType="end"/>
      </w:r>
      <w:r w:rsidR="00824F7F" w:rsidRPr="00575A7E">
        <w:t xml:space="preserve"> Κατανομή κύριων οφειλών προς τους Φορείς Κοινωνικής Ασφάλισης, σε εκατ. ευρώ</w:t>
      </w:r>
      <w:bookmarkEnd w:id="112"/>
    </w:p>
    <w:tbl>
      <w:tblPr>
        <w:tblW w:w="6883" w:type="dxa"/>
        <w:jc w:val="center"/>
        <w:tblLook w:val="04A0" w:firstRow="1" w:lastRow="0" w:firstColumn="1" w:lastColumn="0" w:noHBand="0" w:noVBand="1"/>
      </w:tblPr>
      <w:tblGrid>
        <w:gridCol w:w="1701"/>
        <w:gridCol w:w="142"/>
        <w:gridCol w:w="1418"/>
        <w:gridCol w:w="1701"/>
        <w:gridCol w:w="1921"/>
      </w:tblGrid>
      <w:tr w:rsidR="00824F7F" w:rsidRPr="00575A7E" w14:paraId="3171CBCA" w14:textId="77777777" w:rsidTr="009142DF">
        <w:trPr>
          <w:trHeight w:val="747"/>
          <w:jc w:val="center"/>
        </w:trPr>
        <w:tc>
          <w:tcPr>
            <w:tcW w:w="1701" w:type="dxa"/>
            <w:tcBorders>
              <w:top w:val="nil"/>
              <w:left w:val="nil"/>
              <w:bottom w:val="single" w:sz="4" w:space="0" w:color="auto"/>
              <w:right w:val="nil"/>
            </w:tcBorders>
            <w:shd w:val="clear" w:color="auto" w:fill="auto"/>
            <w:vAlign w:val="center"/>
            <w:hideMark/>
          </w:tcPr>
          <w:p w14:paraId="7E0B58A1"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 xml:space="preserve">Εύρος οφειλής (ευρώ) </w:t>
            </w:r>
          </w:p>
        </w:tc>
        <w:tc>
          <w:tcPr>
            <w:tcW w:w="1560" w:type="dxa"/>
            <w:gridSpan w:val="2"/>
            <w:tcBorders>
              <w:top w:val="nil"/>
              <w:left w:val="nil"/>
              <w:bottom w:val="single" w:sz="4" w:space="0" w:color="auto"/>
              <w:right w:val="nil"/>
            </w:tcBorders>
            <w:shd w:val="clear" w:color="auto" w:fill="auto"/>
            <w:vAlign w:val="center"/>
            <w:hideMark/>
          </w:tcPr>
          <w:p w14:paraId="145419BE"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Ληξιπρόθεσμες οφειλές τέταρτο τρίμηνο 2019</w:t>
            </w:r>
          </w:p>
        </w:tc>
        <w:tc>
          <w:tcPr>
            <w:tcW w:w="1701" w:type="dxa"/>
            <w:tcBorders>
              <w:top w:val="nil"/>
              <w:left w:val="nil"/>
              <w:bottom w:val="single" w:sz="4" w:space="0" w:color="auto"/>
              <w:right w:val="nil"/>
            </w:tcBorders>
            <w:shd w:val="clear" w:color="auto" w:fill="auto"/>
            <w:vAlign w:val="center"/>
            <w:hideMark/>
          </w:tcPr>
          <w:p w14:paraId="796C4E3C"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Ληξιπρόθεσμες οφειλές τέταρτο τρίμηνο 2020</w:t>
            </w:r>
          </w:p>
        </w:tc>
        <w:tc>
          <w:tcPr>
            <w:tcW w:w="1921" w:type="dxa"/>
            <w:tcBorders>
              <w:top w:val="nil"/>
              <w:left w:val="nil"/>
              <w:bottom w:val="single" w:sz="4" w:space="0" w:color="auto"/>
              <w:right w:val="nil"/>
            </w:tcBorders>
            <w:shd w:val="clear" w:color="auto" w:fill="auto"/>
            <w:vAlign w:val="center"/>
            <w:hideMark/>
          </w:tcPr>
          <w:p w14:paraId="4B024730"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Μεταβολή ληξιπρόθεσμων οφειλών</w:t>
            </w:r>
          </w:p>
        </w:tc>
      </w:tr>
      <w:tr w:rsidR="00824F7F" w:rsidRPr="00575A7E" w14:paraId="3EB74BB9" w14:textId="77777777" w:rsidTr="009142DF">
        <w:trPr>
          <w:trHeight w:val="186"/>
          <w:jc w:val="center"/>
        </w:trPr>
        <w:tc>
          <w:tcPr>
            <w:tcW w:w="1843" w:type="dxa"/>
            <w:gridSpan w:val="2"/>
            <w:tcBorders>
              <w:top w:val="nil"/>
              <w:left w:val="nil"/>
              <w:bottom w:val="nil"/>
            </w:tcBorders>
            <w:shd w:val="clear" w:color="auto" w:fill="auto"/>
            <w:noWrap/>
            <w:vAlign w:val="bottom"/>
          </w:tcPr>
          <w:p w14:paraId="75A3C591"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&lt;50</w:t>
            </w:r>
          </w:p>
        </w:tc>
        <w:tc>
          <w:tcPr>
            <w:tcW w:w="1418" w:type="dxa"/>
            <w:tcBorders>
              <w:top w:val="nil"/>
              <w:left w:val="nil"/>
              <w:bottom w:val="nil"/>
              <w:right w:val="nil"/>
            </w:tcBorders>
            <w:shd w:val="clear" w:color="auto" w:fill="auto"/>
            <w:noWrap/>
            <w:vAlign w:val="bottom"/>
          </w:tcPr>
          <w:p w14:paraId="26DF4CE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1,3</w:t>
            </w:r>
          </w:p>
        </w:tc>
        <w:tc>
          <w:tcPr>
            <w:tcW w:w="1701" w:type="dxa"/>
            <w:tcBorders>
              <w:top w:val="nil"/>
              <w:left w:val="nil"/>
              <w:bottom w:val="nil"/>
              <w:right w:val="nil"/>
            </w:tcBorders>
            <w:shd w:val="clear" w:color="auto" w:fill="auto"/>
            <w:noWrap/>
            <w:vAlign w:val="bottom"/>
          </w:tcPr>
          <w:p w14:paraId="5F9706AC"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1,6</w:t>
            </w:r>
          </w:p>
        </w:tc>
        <w:tc>
          <w:tcPr>
            <w:tcW w:w="1921" w:type="dxa"/>
            <w:tcBorders>
              <w:top w:val="nil"/>
              <w:left w:val="nil"/>
              <w:bottom w:val="nil"/>
              <w:right w:val="nil"/>
            </w:tcBorders>
            <w:shd w:val="clear" w:color="auto" w:fill="auto"/>
            <w:noWrap/>
            <w:vAlign w:val="bottom"/>
          </w:tcPr>
          <w:p w14:paraId="3FE7E7E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0,2</w:t>
            </w:r>
          </w:p>
        </w:tc>
      </w:tr>
      <w:tr w:rsidR="00824F7F" w:rsidRPr="00575A7E" w14:paraId="08DC9306" w14:textId="77777777" w:rsidTr="009142DF">
        <w:trPr>
          <w:trHeight w:val="186"/>
          <w:jc w:val="center"/>
        </w:trPr>
        <w:tc>
          <w:tcPr>
            <w:tcW w:w="1843" w:type="dxa"/>
            <w:gridSpan w:val="2"/>
            <w:tcBorders>
              <w:top w:val="nil"/>
              <w:left w:val="nil"/>
              <w:bottom w:val="nil"/>
            </w:tcBorders>
            <w:shd w:val="clear" w:color="auto" w:fill="auto"/>
            <w:noWrap/>
            <w:vAlign w:val="bottom"/>
          </w:tcPr>
          <w:p w14:paraId="18E0DFC3"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50-500</w:t>
            </w:r>
          </w:p>
        </w:tc>
        <w:tc>
          <w:tcPr>
            <w:tcW w:w="1418" w:type="dxa"/>
            <w:tcBorders>
              <w:top w:val="nil"/>
              <w:left w:val="nil"/>
              <w:bottom w:val="nil"/>
              <w:right w:val="nil"/>
            </w:tcBorders>
            <w:shd w:val="clear" w:color="auto" w:fill="auto"/>
            <w:noWrap/>
            <w:vAlign w:val="bottom"/>
          </w:tcPr>
          <w:p w14:paraId="05F4F05E"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47,8</w:t>
            </w:r>
          </w:p>
        </w:tc>
        <w:tc>
          <w:tcPr>
            <w:tcW w:w="1701" w:type="dxa"/>
            <w:tcBorders>
              <w:top w:val="nil"/>
              <w:left w:val="nil"/>
              <w:bottom w:val="nil"/>
              <w:right w:val="nil"/>
            </w:tcBorders>
            <w:shd w:val="clear" w:color="auto" w:fill="auto"/>
            <w:noWrap/>
            <w:vAlign w:val="bottom"/>
          </w:tcPr>
          <w:p w14:paraId="20B6064A"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42,6</w:t>
            </w:r>
          </w:p>
        </w:tc>
        <w:tc>
          <w:tcPr>
            <w:tcW w:w="1921" w:type="dxa"/>
            <w:tcBorders>
              <w:top w:val="nil"/>
              <w:left w:val="nil"/>
              <w:bottom w:val="nil"/>
              <w:right w:val="nil"/>
            </w:tcBorders>
            <w:shd w:val="clear" w:color="auto" w:fill="auto"/>
            <w:noWrap/>
            <w:vAlign w:val="bottom"/>
          </w:tcPr>
          <w:p w14:paraId="021C0AF2"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-5,2</w:t>
            </w:r>
          </w:p>
        </w:tc>
      </w:tr>
      <w:tr w:rsidR="00824F7F" w:rsidRPr="00575A7E" w14:paraId="6026F0CD" w14:textId="77777777" w:rsidTr="009142DF">
        <w:trPr>
          <w:trHeight w:val="186"/>
          <w:jc w:val="center"/>
        </w:trPr>
        <w:tc>
          <w:tcPr>
            <w:tcW w:w="1843" w:type="dxa"/>
            <w:gridSpan w:val="2"/>
            <w:tcBorders>
              <w:top w:val="nil"/>
              <w:left w:val="nil"/>
              <w:bottom w:val="nil"/>
            </w:tcBorders>
            <w:shd w:val="clear" w:color="auto" w:fill="auto"/>
            <w:noWrap/>
            <w:vAlign w:val="bottom"/>
            <w:hideMark/>
          </w:tcPr>
          <w:p w14:paraId="11010E00"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500-10.000</w:t>
            </w:r>
          </w:p>
        </w:tc>
        <w:tc>
          <w:tcPr>
            <w:tcW w:w="1418" w:type="dxa"/>
            <w:tcBorders>
              <w:top w:val="nil"/>
              <w:left w:val="nil"/>
              <w:bottom w:val="nil"/>
              <w:right w:val="nil"/>
            </w:tcBorders>
            <w:shd w:val="clear" w:color="auto" w:fill="auto"/>
            <w:noWrap/>
            <w:vAlign w:val="bottom"/>
          </w:tcPr>
          <w:p w14:paraId="7082BEAD"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3.262,3</w:t>
            </w:r>
          </w:p>
        </w:tc>
        <w:tc>
          <w:tcPr>
            <w:tcW w:w="1701" w:type="dxa"/>
            <w:tcBorders>
              <w:top w:val="nil"/>
              <w:left w:val="nil"/>
              <w:bottom w:val="nil"/>
              <w:right w:val="nil"/>
            </w:tcBorders>
            <w:shd w:val="clear" w:color="auto" w:fill="auto"/>
            <w:noWrap/>
            <w:vAlign w:val="bottom"/>
          </w:tcPr>
          <w:p w14:paraId="62D9D5A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3.163,7</w:t>
            </w:r>
          </w:p>
        </w:tc>
        <w:tc>
          <w:tcPr>
            <w:tcW w:w="1921" w:type="dxa"/>
            <w:tcBorders>
              <w:top w:val="nil"/>
              <w:left w:val="nil"/>
              <w:bottom w:val="nil"/>
              <w:right w:val="nil"/>
            </w:tcBorders>
            <w:shd w:val="clear" w:color="auto" w:fill="auto"/>
            <w:noWrap/>
            <w:vAlign w:val="bottom"/>
          </w:tcPr>
          <w:p w14:paraId="59E5CE44"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-98,7</w:t>
            </w:r>
          </w:p>
        </w:tc>
      </w:tr>
      <w:tr w:rsidR="00824F7F" w:rsidRPr="00575A7E" w14:paraId="3668A063" w14:textId="77777777" w:rsidTr="009142DF">
        <w:trPr>
          <w:trHeight w:val="186"/>
          <w:jc w:val="center"/>
        </w:trPr>
        <w:tc>
          <w:tcPr>
            <w:tcW w:w="1843" w:type="dxa"/>
            <w:gridSpan w:val="2"/>
            <w:tcBorders>
              <w:top w:val="nil"/>
              <w:left w:val="nil"/>
              <w:bottom w:val="nil"/>
            </w:tcBorders>
            <w:shd w:val="clear" w:color="auto" w:fill="auto"/>
            <w:noWrap/>
            <w:vAlign w:val="bottom"/>
            <w:hideMark/>
          </w:tcPr>
          <w:p w14:paraId="50F0CA1A"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10.000-100.000</w:t>
            </w:r>
          </w:p>
        </w:tc>
        <w:tc>
          <w:tcPr>
            <w:tcW w:w="1418" w:type="dxa"/>
            <w:tcBorders>
              <w:top w:val="nil"/>
              <w:left w:val="nil"/>
              <w:bottom w:val="nil"/>
              <w:right w:val="nil"/>
            </w:tcBorders>
            <w:shd w:val="clear" w:color="auto" w:fill="auto"/>
            <w:noWrap/>
            <w:vAlign w:val="bottom"/>
          </w:tcPr>
          <w:p w14:paraId="40863B4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10.962,4</w:t>
            </w:r>
          </w:p>
        </w:tc>
        <w:tc>
          <w:tcPr>
            <w:tcW w:w="1701" w:type="dxa"/>
            <w:tcBorders>
              <w:top w:val="nil"/>
              <w:left w:val="nil"/>
              <w:bottom w:val="nil"/>
              <w:right w:val="nil"/>
            </w:tcBorders>
            <w:shd w:val="clear" w:color="auto" w:fill="auto"/>
            <w:noWrap/>
            <w:vAlign w:val="bottom"/>
          </w:tcPr>
          <w:p w14:paraId="789D325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10.983,7</w:t>
            </w:r>
          </w:p>
        </w:tc>
        <w:tc>
          <w:tcPr>
            <w:tcW w:w="1921" w:type="dxa"/>
            <w:tcBorders>
              <w:top w:val="nil"/>
              <w:left w:val="nil"/>
              <w:bottom w:val="nil"/>
              <w:right w:val="nil"/>
            </w:tcBorders>
            <w:shd w:val="clear" w:color="auto" w:fill="auto"/>
            <w:noWrap/>
            <w:vAlign w:val="bottom"/>
          </w:tcPr>
          <w:p w14:paraId="41A01C4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21,2</w:t>
            </w:r>
          </w:p>
        </w:tc>
      </w:tr>
      <w:tr w:rsidR="00824F7F" w:rsidRPr="00575A7E" w14:paraId="1DC7C72F" w14:textId="77777777" w:rsidTr="009142DF">
        <w:trPr>
          <w:trHeight w:val="186"/>
          <w:jc w:val="center"/>
        </w:trPr>
        <w:tc>
          <w:tcPr>
            <w:tcW w:w="1843" w:type="dxa"/>
            <w:gridSpan w:val="2"/>
            <w:tcBorders>
              <w:top w:val="nil"/>
              <w:left w:val="nil"/>
              <w:bottom w:val="nil"/>
            </w:tcBorders>
            <w:shd w:val="clear" w:color="auto" w:fill="auto"/>
            <w:noWrap/>
            <w:vAlign w:val="bottom"/>
            <w:hideMark/>
          </w:tcPr>
          <w:p w14:paraId="66DDC756"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100.000-1.000.000</w:t>
            </w:r>
          </w:p>
        </w:tc>
        <w:tc>
          <w:tcPr>
            <w:tcW w:w="1418" w:type="dxa"/>
            <w:tcBorders>
              <w:top w:val="nil"/>
              <w:left w:val="nil"/>
              <w:bottom w:val="nil"/>
              <w:right w:val="nil"/>
            </w:tcBorders>
            <w:shd w:val="clear" w:color="auto" w:fill="auto"/>
            <w:noWrap/>
            <w:vAlign w:val="bottom"/>
          </w:tcPr>
          <w:p w14:paraId="6535121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5.736,6</w:t>
            </w:r>
          </w:p>
        </w:tc>
        <w:tc>
          <w:tcPr>
            <w:tcW w:w="1701" w:type="dxa"/>
            <w:tcBorders>
              <w:top w:val="nil"/>
              <w:left w:val="nil"/>
              <w:bottom w:val="nil"/>
              <w:right w:val="nil"/>
            </w:tcBorders>
            <w:shd w:val="clear" w:color="auto" w:fill="auto"/>
            <w:noWrap/>
            <w:vAlign w:val="bottom"/>
          </w:tcPr>
          <w:p w14:paraId="40050DF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6.211,8</w:t>
            </w:r>
          </w:p>
        </w:tc>
        <w:tc>
          <w:tcPr>
            <w:tcW w:w="1921" w:type="dxa"/>
            <w:tcBorders>
              <w:top w:val="nil"/>
              <w:left w:val="nil"/>
              <w:bottom w:val="nil"/>
              <w:right w:val="nil"/>
            </w:tcBorders>
            <w:shd w:val="clear" w:color="auto" w:fill="auto"/>
            <w:noWrap/>
            <w:vAlign w:val="bottom"/>
          </w:tcPr>
          <w:p w14:paraId="1CF5D3B7"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475,2</w:t>
            </w:r>
          </w:p>
        </w:tc>
      </w:tr>
      <w:tr w:rsidR="00824F7F" w:rsidRPr="00575A7E" w14:paraId="6E23DA8A" w14:textId="77777777" w:rsidTr="009142DF">
        <w:trPr>
          <w:trHeight w:val="186"/>
          <w:jc w:val="center"/>
        </w:trPr>
        <w:tc>
          <w:tcPr>
            <w:tcW w:w="1843" w:type="dxa"/>
            <w:gridSpan w:val="2"/>
            <w:tcBorders>
              <w:top w:val="nil"/>
              <w:left w:val="nil"/>
            </w:tcBorders>
            <w:shd w:val="clear" w:color="auto" w:fill="auto"/>
            <w:noWrap/>
            <w:vAlign w:val="bottom"/>
            <w:hideMark/>
          </w:tcPr>
          <w:p w14:paraId="1431164A" w14:textId="77777777" w:rsidR="00824F7F" w:rsidRPr="00575A7E" w:rsidRDefault="00824F7F" w:rsidP="003B1BE9">
            <w:pPr>
              <w:spacing w:after="0" w:line="276" w:lineRule="auto"/>
              <w:rPr>
                <w:rFonts w:ascii="Calibri" w:eastAsia="Times New Roman" w:hAnsi="Calibri" w:cs="Times New Roman"/>
                <w:bCs/>
                <w:color w:val="595959"/>
                <w:sz w:val="18"/>
                <w:szCs w:val="18"/>
                <w:lang w:eastAsia="el-GR"/>
              </w:rPr>
            </w:pPr>
            <w:r w:rsidRPr="00575A7E">
              <w:rPr>
                <w:rFonts w:ascii="Calibri" w:eastAsia="Times New Roman" w:hAnsi="Calibri" w:cs="Times New Roman"/>
                <w:bCs/>
                <w:color w:val="595959"/>
                <w:sz w:val="18"/>
                <w:szCs w:val="18"/>
                <w:lang w:eastAsia="el-GR"/>
              </w:rPr>
              <w:t>&gt;1.000.000</w:t>
            </w:r>
          </w:p>
        </w:tc>
        <w:tc>
          <w:tcPr>
            <w:tcW w:w="1418" w:type="dxa"/>
            <w:tcBorders>
              <w:top w:val="nil"/>
              <w:left w:val="nil"/>
              <w:bottom w:val="nil"/>
              <w:right w:val="nil"/>
            </w:tcBorders>
            <w:shd w:val="clear" w:color="auto" w:fill="auto"/>
            <w:noWrap/>
            <w:vAlign w:val="bottom"/>
          </w:tcPr>
          <w:p w14:paraId="3A30E1E9"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4.326,1</w:t>
            </w:r>
          </w:p>
        </w:tc>
        <w:tc>
          <w:tcPr>
            <w:tcW w:w="1701" w:type="dxa"/>
            <w:tcBorders>
              <w:top w:val="nil"/>
              <w:left w:val="nil"/>
              <w:bottom w:val="nil"/>
              <w:right w:val="nil"/>
            </w:tcBorders>
            <w:shd w:val="clear" w:color="auto" w:fill="auto"/>
            <w:noWrap/>
            <w:vAlign w:val="bottom"/>
          </w:tcPr>
          <w:p w14:paraId="005776FF"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4.529,8</w:t>
            </w:r>
          </w:p>
        </w:tc>
        <w:tc>
          <w:tcPr>
            <w:tcW w:w="1921" w:type="dxa"/>
            <w:tcBorders>
              <w:top w:val="nil"/>
              <w:left w:val="nil"/>
              <w:bottom w:val="nil"/>
              <w:right w:val="nil"/>
            </w:tcBorders>
            <w:shd w:val="clear" w:color="auto" w:fill="auto"/>
            <w:noWrap/>
            <w:vAlign w:val="bottom"/>
          </w:tcPr>
          <w:p w14:paraId="367CD5D3"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r w:rsidRPr="00575A7E">
              <w:rPr>
                <w:rFonts w:ascii="Calibri" w:eastAsia="Times New Roman" w:hAnsi="Calibri" w:cs="Times New Roman"/>
                <w:color w:val="595959"/>
                <w:sz w:val="18"/>
                <w:szCs w:val="18"/>
                <w:lang w:eastAsia="el-GR"/>
              </w:rPr>
              <w:t>203,7</w:t>
            </w:r>
          </w:p>
        </w:tc>
      </w:tr>
      <w:tr w:rsidR="00824F7F" w:rsidRPr="00575A7E" w14:paraId="56687014" w14:textId="77777777" w:rsidTr="009142DF">
        <w:trPr>
          <w:trHeight w:val="186"/>
          <w:jc w:val="center"/>
        </w:trPr>
        <w:tc>
          <w:tcPr>
            <w:tcW w:w="1843" w:type="dxa"/>
            <w:gridSpan w:val="2"/>
            <w:tcBorders>
              <w:top w:val="nil"/>
              <w:left w:val="nil"/>
              <w:bottom w:val="single" w:sz="4" w:space="0" w:color="auto"/>
              <w:right w:val="nil"/>
            </w:tcBorders>
            <w:shd w:val="clear" w:color="auto" w:fill="auto"/>
            <w:noWrap/>
            <w:vAlign w:val="bottom"/>
            <w:hideMark/>
          </w:tcPr>
          <w:p w14:paraId="7083D505" w14:textId="77777777" w:rsidR="00824F7F" w:rsidRPr="00575A7E" w:rsidRDefault="00824F7F" w:rsidP="003B1BE9">
            <w:pPr>
              <w:spacing w:after="0" w:line="276" w:lineRule="auto"/>
              <w:rPr>
                <w:rFonts w:ascii="Calibri" w:eastAsia="Times New Roman" w:hAnsi="Calibri" w:cs="Times New Roman"/>
                <w:b/>
                <w:bCs/>
                <w:color w:val="595959"/>
                <w:sz w:val="18"/>
                <w:szCs w:val="18"/>
                <w:lang w:eastAsia="el-GR"/>
              </w:rPr>
            </w:pPr>
            <w:r w:rsidRPr="00575A7E">
              <w:rPr>
                <w:rFonts w:ascii="Calibri" w:eastAsia="Times New Roman" w:hAnsi="Calibri" w:cs="Times New Roman"/>
                <w:b/>
                <w:bCs/>
                <w:color w:val="595959"/>
                <w:sz w:val="18"/>
                <w:szCs w:val="18"/>
                <w:lang w:eastAsia="el-GR"/>
              </w:rPr>
              <w:t>Σύνολο</w:t>
            </w:r>
          </w:p>
        </w:tc>
        <w:tc>
          <w:tcPr>
            <w:tcW w:w="1418" w:type="dxa"/>
            <w:tcBorders>
              <w:top w:val="nil"/>
              <w:left w:val="nil"/>
              <w:bottom w:val="nil"/>
              <w:right w:val="nil"/>
            </w:tcBorders>
            <w:shd w:val="clear" w:color="auto" w:fill="auto"/>
            <w:noWrap/>
            <w:vAlign w:val="bottom"/>
          </w:tcPr>
          <w:p w14:paraId="0C900872"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24.336,6</w:t>
            </w:r>
          </w:p>
        </w:tc>
        <w:tc>
          <w:tcPr>
            <w:tcW w:w="1701" w:type="dxa"/>
            <w:tcBorders>
              <w:top w:val="nil"/>
              <w:left w:val="nil"/>
              <w:bottom w:val="nil"/>
              <w:right w:val="nil"/>
            </w:tcBorders>
            <w:shd w:val="clear" w:color="auto" w:fill="auto"/>
            <w:noWrap/>
            <w:vAlign w:val="bottom"/>
          </w:tcPr>
          <w:p w14:paraId="0CA0B8FC"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24.933,1</w:t>
            </w:r>
          </w:p>
        </w:tc>
        <w:tc>
          <w:tcPr>
            <w:tcW w:w="1921" w:type="dxa"/>
            <w:tcBorders>
              <w:top w:val="nil"/>
              <w:left w:val="nil"/>
              <w:bottom w:val="nil"/>
              <w:right w:val="nil"/>
            </w:tcBorders>
            <w:shd w:val="clear" w:color="auto" w:fill="auto"/>
            <w:noWrap/>
            <w:vAlign w:val="bottom"/>
          </w:tcPr>
          <w:p w14:paraId="0CE55E89" w14:textId="77777777" w:rsidR="00824F7F" w:rsidRPr="00575A7E" w:rsidRDefault="00824F7F" w:rsidP="003B1BE9">
            <w:pPr>
              <w:spacing w:after="0" w:line="276" w:lineRule="auto"/>
              <w:jc w:val="center"/>
              <w:rPr>
                <w:rFonts w:ascii="Calibri" w:eastAsia="Times New Roman" w:hAnsi="Calibri" w:cs="Times New Roman"/>
                <w:b/>
                <w:color w:val="595959"/>
                <w:sz w:val="18"/>
                <w:szCs w:val="18"/>
                <w:lang w:eastAsia="el-GR"/>
              </w:rPr>
            </w:pPr>
            <w:r w:rsidRPr="00575A7E">
              <w:rPr>
                <w:rFonts w:ascii="Calibri" w:eastAsia="Times New Roman" w:hAnsi="Calibri" w:cs="Times New Roman"/>
                <w:b/>
                <w:color w:val="595959"/>
                <w:sz w:val="18"/>
                <w:szCs w:val="18"/>
                <w:lang w:eastAsia="el-GR"/>
              </w:rPr>
              <w:t>596,6</w:t>
            </w:r>
          </w:p>
        </w:tc>
      </w:tr>
      <w:tr w:rsidR="00824F7F" w:rsidRPr="00575A7E" w14:paraId="089869B3" w14:textId="77777777" w:rsidTr="009142DF">
        <w:trPr>
          <w:trHeight w:val="186"/>
          <w:jc w:val="center"/>
        </w:trPr>
        <w:tc>
          <w:tcPr>
            <w:tcW w:w="1843" w:type="dxa"/>
            <w:gridSpan w:val="2"/>
            <w:tcBorders>
              <w:top w:val="single" w:sz="4" w:space="0" w:color="auto"/>
              <w:left w:val="nil"/>
              <w:right w:val="nil"/>
            </w:tcBorders>
            <w:shd w:val="clear" w:color="auto" w:fill="auto"/>
            <w:noWrap/>
            <w:vAlign w:val="bottom"/>
          </w:tcPr>
          <w:p w14:paraId="7FA0A5F3" w14:textId="77777777" w:rsidR="00824F7F" w:rsidRPr="00575A7E" w:rsidRDefault="00824F7F" w:rsidP="003B1BE9">
            <w:pPr>
              <w:spacing w:after="0" w:line="276" w:lineRule="auto"/>
              <w:rPr>
                <w:rFonts w:ascii="Calibri" w:eastAsia="Times New Roman" w:hAnsi="Calibri" w:cs="Times New Roman"/>
                <w:bCs/>
                <w:color w:val="595959"/>
                <w:sz w:val="16"/>
                <w:szCs w:val="16"/>
                <w:lang w:eastAsia="el-GR"/>
              </w:rPr>
            </w:pPr>
            <w:r w:rsidRPr="00575A7E">
              <w:rPr>
                <w:rFonts w:ascii="Calibri" w:eastAsia="Times New Roman" w:hAnsi="Calibri" w:cs="Times New Roman"/>
                <w:bCs/>
                <w:color w:val="595959"/>
                <w:sz w:val="16"/>
                <w:szCs w:val="16"/>
                <w:lang w:eastAsia="el-GR"/>
              </w:rPr>
              <w:t>Πηγή: KEAO</w:t>
            </w:r>
          </w:p>
        </w:tc>
        <w:tc>
          <w:tcPr>
            <w:tcW w:w="1418" w:type="dxa"/>
            <w:tcBorders>
              <w:top w:val="single" w:sz="4" w:space="0" w:color="auto"/>
              <w:left w:val="nil"/>
              <w:right w:val="nil"/>
            </w:tcBorders>
            <w:shd w:val="clear" w:color="auto" w:fill="auto"/>
            <w:noWrap/>
            <w:vAlign w:val="bottom"/>
          </w:tcPr>
          <w:p w14:paraId="510B50B0" w14:textId="77777777" w:rsidR="00824F7F" w:rsidRPr="00575A7E" w:rsidRDefault="00824F7F" w:rsidP="003B1BE9">
            <w:pPr>
              <w:spacing w:after="0" w:line="276" w:lineRule="auto"/>
              <w:jc w:val="center"/>
              <w:rPr>
                <w:rFonts w:ascii="Calibri" w:eastAsia="Times New Roman" w:hAnsi="Calibri" w:cs="Times New Roman"/>
                <w:color w:val="595959"/>
                <w:sz w:val="18"/>
                <w:szCs w:val="18"/>
                <w:lang w:eastAsia="el-GR"/>
              </w:rPr>
            </w:pPr>
          </w:p>
        </w:tc>
        <w:tc>
          <w:tcPr>
            <w:tcW w:w="1701" w:type="dxa"/>
            <w:tcBorders>
              <w:top w:val="single" w:sz="4" w:space="0" w:color="auto"/>
              <w:left w:val="nil"/>
              <w:right w:val="nil"/>
            </w:tcBorders>
            <w:shd w:val="clear" w:color="auto" w:fill="auto"/>
            <w:noWrap/>
            <w:vAlign w:val="bottom"/>
          </w:tcPr>
          <w:p w14:paraId="3A23620E"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c>
          <w:tcPr>
            <w:tcW w:w="1921" w:type="dxa"/>
            <w:tcBorders>
              <w:top w:val="single" w:sz="4" w:space="0" w:color="auto"/>
              <w:left w:val="nil"/>
              <w:right w:val="nil"/>
            </w:tcBorders>
            <w:shd w:val="clear" w:color="auto" w:fill="auto"/>
            <w:noWrap/>
            <w:vAlign w:val="bottom"/>
          </w:tcPr>
          <w:p w14:paraId="7A757F0F" w14:textId="77777777" w:rsidR="00824F7F" w:rsidRPr="00575A7E" w:rsidRDefault="00824F7F" w:rsidP="003B1BE9">
            <w:pPr>
              <w:spacing w:after="0" w:line="276" w:lineRule="auto"/>
              <w:jc w:val="center"/>
              <w:rPr>
                <w:rFonts w:ascii="Calibri" w:eastAsia="Times New Roman" w:hAnsi="Calibri" w:cs="Times New Roman"/>
                <w:bCs/>
                <w:color w:val="595959"/>
                <w:sz w:val="18"/>
                <w:szCs w:val="18"/>
                <w:lang w:eastAsia="el-GR"/>
              </w:rPr>
            </w:pPr>
          </w:p>
        </w:tc>
      </w:tr>
      <w:bookmarkEnd w:id="88"/>
      <w:bookmarkEnd w:id="89"/>
      <w:bookmarkEnd w:id="90"/>
      <w:bookmarkEnd w:id="91"/>
      <w:bookmarkEnd w:id="92"/>
      <w:bookmarkEnd w:id="93"/>
    </w:tbl>
    <w:p w14:paraId="5A1BA642" w14:textId="77777777" w:rsidR="0071747F" w:rsidRPr="00575A7E" w:rsidRDefault="0071747F" w:rsidP="003B1BE9">
      <w:pPr>
        <w:spacing w:after="0" w:line="276" w:lineRule="auto"/>
        <w:jc w:val="both"/>
        <w:rPr>
          <w:rFonts w:ascii="Calibri" w:eastAsia="Calibri" w:hAnsi="Calibri" w:cs="Times New Roman"/>
          <w:color w:val="595959" w:themeColor="text1" w:themeTint="A6"/>
        </w:rPr>
      </w:pPr>
    </w:p>
    <w:bookmarkEnd w:id="94"/>
    <w:bookmarkEnd w:id="95"/>
    <w:bookmarkEnd w:id="96"/>
    <w:bookmarkEnd w:id="97"/>
    <w:bookmarkEnd w:id="98"/>
    <w:bookmarkEnd w:id="99"/>
    <w:p w14:paraId="71C60E96" w14:textId="77777777" w:rsidR="001A034F" w:rsidRDefault="001A034F">
      <w:pPr>
        <w:rPr>
          <w:rFonts w:ascii="Calibri Light" w:eastAsia="Times New Roman" w:hAnsi="Calibri Light" w:cs="Times New Roman"/>
          <w:b/>
          <w:bCs/>
          <w:color w:val="4472C4"/>
          <w:sz w:val="26"/>
          <w:szCs w:val="26"/>
        </w:rPr>
      </w:pPr>
      <w:r>
        <w:rPr>
          <w:rFonts w:ascii="Calibri Light" w:eastAsia="Times New Roman" w:hAnsi="Calibri Light" w:cs="Times New Roman"/>
          <w:color w:val="4472C4"/>
        </w:rPr>
        <w:br w:type="page"/>
      </w:r>
    </w:p>
    <w:p w14:paraId="562A7DD0" w14:textId="77777777" w:rsidR="003972EE" w:rsidRPr="00575A7E" w:rsidRDefault="003972EE" w:rsidP="003B1BE9">
      <w:pPr>
        <w:pStyle w:val="2"/>
        <w:spacing w:before="0" w:line="276" w:lineRule="auto"/>
        <w:jc w:val="both"/>
        <w:rPr>
          <w:rFonts w:ascii="Calibri Light" w:eastAsia="Times New Roman" w:hAnsi="Calibri Light" w:cs="Times New Roman"/>
          <w:color w:val="4472C4"/>
        </w:rPr>
      </w:pPr>
      <w:bookmarkStart w:id="113" w:name="_Toc67401915"/>
      <w:r w:rsidRPr="00575A7E">
        <w:rPr>
          <w:rFonts w:ascii="Calibri Light" w:eastAsia="Times New Roman" w:hAnsi="Calibri Light" w:cs="Times New Roman"/>
          <w:color w:val="4472C4"/>
        </w:rPr>
        <w:lastRenderedPageBreak/>
        <w:t>2.3. Δημόσιο χρέος</w:t>
      </w:r>
      <w:bookmarkEnd w:id="113"/>
    </w:p>
    <w:p w14:paraId="37296F00" w14:textId="77777777" w:rsidR="003972EE" w:rsidRPr="00575A7E" w:rsidRDefault="003972EE" w:rsidP="003B1BE9">
      <w:pPr>
        <w:spacing w:after="0" w:line="276" w:lineRule="auto"/>
        <w:jc w:val="both"/>
        <w:rPr>
          <w:rFonts w:asciiTheme="majorHAnsi" w:eastAsia="Times New Roman" w:hAnsiTheme="majorHAnsi" w:cstheme="majorBidi"/>
          <w:b/>
          <w:bCs/>
          <w:color w:val="4472C4" w:themeColor="accent1"/>
        </w:rPr>
      </w:pPr>
    </w:p>
    <w:p w14:paraId="4B94360E" w14:textId="77777777" w:rsidR="003972EE" w:rsidRPr="00575A7E" w:rsidRDefault="003972EE" w:rsidP="003B1BE9">
      <w:pPr>
        <w:pStyle w:val="3"/>
        <w:spacing w:before="0" w:line="276" w:lineRule="auto"/>
        <w:jc w:val="both"/>
      </w:pPr>
      <w:bookmarkStart w:id="114" w:name="_Toc50131958"/>
      <w:bookmarkStart w:id="115" w:name="_Toc67401916"/>
      <w:r w:rsidRPr="00575A7E">
        <w:t>Οι αποδόσεις των δεκαετών τίτλων</w:t>
      </w:r>
      <w:bookmarkEnd w:id="114"/>
      <w:bookmarkEnd w:id="115"/>
    </w:p>
    <w:p w14:paraId="0FEA95E0" w14:textId="77777777" w:rsidR="003972EE" w:rsidRPr="00575A7E" w:rsidRDefault="003972EE" w:rsidP="003B1BE9">
      <w:pPr>
        <w:spacing w:after="0" w:line="276" w:lineRule="auto"/>
      </w:pPr>
    </w:p>
    <w:p w14:paraId="31F99CBE" w14:textId="5E7CD52B" w:rsidR="003972EE" w:rsidRPr="00575A7E" w:rsidRDefault="005921E4" w:rsidP="003B1BE9">
      <w:pPr>
        <w:spacing w:after="0" w:line="276" w:lineRule="auto"/>
        <w:jc w:val="both"/>
        <w:rPr>
          <w:rFonts w:ascii="Calibri" w:eastAsia="Calibri" w:hAnsi="Calibri" w:cs="Times New Roman"/>
          <w:color w:val="595959"/>
        </w:rPr>
      </w:pPr>
      <w:r>
        <w:rPr>
          <w:rFonts w:ascii="Calibri" w:eastAsia="Calibri" w:hAnsi="Calibri" w:cs="Times New Roman"/>
          <w:color w:val="595959"/>
        </w:rPr>
        <w:t>Π</w:t>
      </w:r>
      <w:r w:rsidR="003972EE" w:rsidRPr="00575A7E">
        <w:rPr>
          <w:rFonts w:ascii="Calibri" w:eastAsia="Calibri" w:hAnsi="Calibri" w:cs="Times New Roman"/>
          <w:color w:val="595959"/>
        </w:rPr>
        <w:t xml:space="preserve">αρά τις αβεβαιότητες και τις διακυμάνσεις στις διεθνείς αγορές, οι αποδόσεις των δεκαετών τίτλων του ελληνικού κράτους επανήλθαν στην πτωτική τους πορεία μετά τον Απρίλιο του 2020, συγκλίνοντας προς τους αντίστοιχους τίτλους της Ιταλίας. Ωστόσο, διαφαίνεται να υπάρχει μια ανοδική τάση </w:t>
      </w:r>
      <w:r w:rsidR="00017E42" w:rsidRPr="00575A7E">
        <w:rPr>
          <w:rFonts w:ascii="Calibri" w:eastAsia="Calibri" w:hAnsi="Calibri" w:cs="Times New Roman"/>
          <w:color w:val="595959"/>
        </w:rPr>
        <w:t xml:space="preserve">σε όλους τους ευρωπαϊκούς τίτλους από </w:t>
      </w:r>
      <w:r w:rsidR="003972EE" w:rsidRPr="00575A7E">
        <w:rPr>
          <w:rFonts w:ascii="Calibri" w:eastAsia="Calibri" w:hAnsi="Calibri" w:cs="Times New Roman"/>
          <w:color w:val="595959"/>
        </w:rPr>
        <w:t>το</w:t>
      </w:r>
      <w:r w:rsidR="00017E42" w:rsidRPr="00575A7E">
        <w:rPr>
          <w:rFonts w:ascii="Calibri" w:eastAsia="Calibri" w:hAnsi="Calibri" w:cs="Times New Roman"/>
          <w:color w:val="595959"/>
        </w:rPr>
        <w:t>ν Φεβρουάριο του 2021. Σ</w:t>
      </w:r>
      <w:r w:rsidR="003972EE" w:rsidRPr="00575A7E">
        <w:rPr>
          <w:rFonts w:ascii="Calibri" w:eastAsia="Calibri" w:hAnsi="Calibri" w:cs="Times New Roman"/>
          <w:color w:val="595959"/>
        </w:rPr>
        <w:t>τις αρχές Μαρτίου οι αποδόσεις των δεκαετών τίτλων διαμορφώθηκαν κοντά στο 1,04%.</w:t>
      </w:r>
    </w:p>
    <w:p w14:paraId="4FFEE59C" w14:textId="77777777" w:rsidR="003972EE" w:rsidRPr="00575A7E" w:rsidRDefault="003972EE" w:rsidP="003B1BE9">
      <w:pPr>
        <w:spacing w:after="0" w:line="276" w:lineRule="auto"/>
        <w:jc w:val="both"/>
        <w:rPr>
          <w:rFonts w:ascii="Calibri" w:eastAsia="Calibri" w:hAnsi="Calibri" w:cs="Times New Roman"/>
          <w:color w:val="595959"/>
        </w:rPr>
      </w:pPr>
    </w:p>
    <w:p w14:paraId="00BB818B" w14:textId="7ADACC9C" w:rsidR="00BE2F01" w:rsidRPr="00575A7E" w:rsidRDefault="00D960BC" w:rsidP="00D960BC">
      <w:pPr>
        <w:pStyle w:val="ae"/>
        <w:jc w:val="center"/>
      </w:pPr>
      <w:bookmarkStart w:id="116" w:name="_Toc67396699"/>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9</w:t>
      </w:r>
      <w:r w:rsidR="0096217C">
        <w:rPr>
          <w:noProof/>
        </w:rPr>
        <w:fldChar w:fldCharType="end"/>
      </w:r>
      <w:r w:rsidR="00BE2F01" w:rsidRPr="00575A7E">
        <w:t xml:space="preserve"> Αποδόσεις δεκαετών ομολόγων</w:t>
      </w:r>
      <w:bookmarkEnd w:id="116"/>
    </w:p>
    <w:p w14:paraId="34656C3E" w14:textId="77777777" w:rsidR="003972EE" w:rsidRPr="00575A7E" w:rsidRDefault="00800C9E" w:rsidP="003B1BE9">
      <w:pPr>
        <w:spacing w:after="0" w:line="276" w:lineRule="auto"/>
        <w:jc w:val="center"/>
        <w:rPr>
          <w:rFonts w:ascii="Calibri" w:eastAsia="Calibri" w:hAnsi="Calibri" w:cs="Times New Roman"/>
          <w:b/>
          <w:color w:val="595959"/>
        </w:rPr>
      </w:pPr>
      <w:r>
        <w:rPr>
          <w:rFonts w:ascii="Calibri" w:eastAsia="Calibri" w:hAnsi="Calibri" w:cs="Times New Roman"/>
          <w:b/>
          <w:noProof/>
          <w:color w:val="595959"/>
          <w:lang w:eastAsia="el-GR"/>
        </w:rPr>
        <w:drawing>
          <wp:inline distT="0" distB="0" distL="0" distR="0" wp14:anchorId="64FB68A8" wp14:editId="1BEAF1DD">
            <wp:extent cx="4294800" cy="2088000"/>
            <wp:effectExtent l="0" t="0" r="0" b="0"/>
            <wp:docPr id="26" name="Picture 2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 histogram&#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94800" cy="2088000"/>
                    </a:xfrm>
                    <a:prstGeom prst="rect">
                      <a:avLst/>
                    </a:prstGeom>
                  </pic:spPr>
                </pic:pic>
              </a:graphicData>
            </a:graphic>
          </wp:inline>
        </w:drawing>
      </w:r>
    </w:p>
    <w:p w14:paraId="31F64996" w14:textId="77777777" w:rsidR="003972EE" w:rsidRPr="00575A7E" w:rsidRDefault="003972EE" w:rsidP="003B1BE9">
      <w:pPr>
        <w:spacing w:after="0" w:line="276" w:lineRule="auto"/>
        <w:jc w:val="center"/>
        <w:rPr>
          <w:rFonts w:ascii="Calibri" w:eastAsia="Calibri" w:hAnsi="Calibri" w:cs="Times New Roman"/>
          <w:b/>
          <w:color w:val="595959"/>
          <w:lang w:val="en-US"/>
        </w:rPr>
      </w:pPr>
    </w:p>
    <w:p w14:paraId="5071D446" w14:textId="77777777" w:rsidR="003972EE" w:rsidRPr="00575A7E" w:rsidRDefault="003972EE" w:rsidP="003B1BE9">
      <w:pPr>
        <w:spacing w:line="276" w:lineRule="auto"/>
        <w:jc w:val="both"/>
        <w:rPr>
          <w:rFonts w:ascii="Calibri" w:eastAsia="Calibri" w:hAnsi="Calibri" w:cs="Times New Roman"/>
          <w:color w:val="595959"/>
        </w:rPr>
      </w:pPr>
      <w:r w:rsidRPr="00575A7E">
        <w:rPr>
          <w:rFonts w:ascii="Calibri" w:eastAsia="Calibri" w:hAnsi="Calibri" w:cs="Times New Roman"/>
          <w:color w:val="595959"/>
        </w:rPr>
        <w:t>Η διαφορά (</w:t>
      </w:r>
      <w:r w:rsidRPr="00575A7E">
        <w:rPr>
          <w:rFonts w:ascii="Calibri" w:eastAsia="Calibri" w:hAnsi="Calibri" w:cs="Times New Roman"/>
          <w:color w:val="595959"/>
          <w:lang w:val="en-US"/>
        </w:rPr>
        <w:t>spread</w:t>
      </w:r>
      <w:r w:rsidRPr="00575A7E">
        <w:rPr>
          <w:rFonts w:ascii="Calibri" w:eastAsia="Calibri" w:hAnsi="Calibri" w:cs="Times New Roman"/>
          <w:color w:val="595959"/>
        </w:rPr>
        <w:t>) των ελληνικών 10ετών τίτλων από τους αντίστοιχους της Ευρωζώνης έχει περιοριστεί τα τελευταία χρόνια. Συγκεκριμένα, η διαφορά από τους γερμανικούς τίτλους από 363,9 μονάδες βάσης στην αρχή του 2018 έχει διαμορφωθεί στις 133,3 στις αρχές Μαρτίου του 2021, ενώ η διαφορά από τους πορτογαλικούς τίτλους έχει διαμορφωθεί στις 77,3 από 209,7 μονάδες βάσης. Η διαφορά από τους ιταλικούς τίτλους έχει μειωθεί από τις 201,1 μονάδες</w:t>
      </w:r>
      <w:r w:rsidRPr="00575A7E">
        <w:rPr>
          <w:rFonts w:ascii="Calibri" w:eastAsia="Calibri" w:hAnsi="Calibri" w:cs="Times New Roman"/>
          <w:color w:val="595959"/>
          <w:sz w:val="26"/>
          <w:szCs w:val="26"/>
        </w:rPr>
        <w:t xml:space="preserve"> </w:t>
      </w:r>
      <w:r w:rsidRPr="00575A7E">
        <w:rPr>
          <w:rFonts w:ascii="Calibri" w:eastAsia="Calibri" w:hAnsi="Calibri" w:cs="Times New Roman"/>
          <w:color w:val="595959"/>
        </w:rPr>
        <w:t>βάσης στην αρχή του 2018 στις 33,5 μονάδες βάσης</w:t>
      </w:r>
      <w:r w:rsidRPr="00575A7E">
        <w:t xml:space="preserve"> </w:t>
      </w:r>
      <w:r w:rsidRPr="00575A7E">
        <w:rPr>
          <w:rFonts w:ascii="Calibri" w:eastAsia="Calibri" w:hAnsi="Calibri" w:cs="Times New Roman"/>
          <w:color w:val="595959"/>
        </w:rPr>
        <w:t xml:space="preserve">στις αρχές Μαρτίου του 2021, ενώ η διαφορά από τους ισπανικούς τίτλους έχει μειωθεί στις 66,9 μονάδες βάσης από 250,8 στην αρχή του 2018. </w:t>
      </w:r>
    </w:p>
    <w:p w14:paraId="39E95C48" w14:textId="77777777" w:rsidR="003972EE" w:rsidRDefault="003972EE" w:rsidP="003B1BE9">
      <w:p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Καταλυτικό ρόλο στη μείωση των αποδόσεων των ελληνικών κρατικών ομολόγων και στη μείωση του περιθωρίου επιτοκίου από αντίστοιχα ομόλογα άλλων κρατών-μελών της ευρωζώνης είναι η συμπερίληψη των ελληνικών τίτλων στο έκτακτο πρόγραμμα αγοράς τίτλων λόγω της πανδημίας (</w:t>
      </w:r>
      <w:r w:rsidRPr="00575A7E">
        <w:rPr>
          <w:rFonts w:ascii="Calibri" w:eastAsia="Calibri" w:hAnsi="Calibri" w:cs="Times New Roman"/>
          <w:color w:val="595959"/>
          <w:lang w:val="en-US"/>
        </w:rPr>
        <w:t>PEPP</w:t>
      </w:r>
      <w:r w:rsidRPr="00575A7E">
        <w:rPr>
          <w:rFonts w:ascii="Calibri" w:eastAsia="Calibri" w:hAnsi="Calibri" w:cs="Times New Roman"/>
          <w:color w:val="595959"/>
        </w:rPr>
        <w:t>) της Ευρωπαϊκής Κεντρικής Τράπεζας.</w:t>
      </w:r>
    </w:p>
    <w:p w14:paraId="60925BA1" w14:textId="704BAC50" w:rsidR="00B7604B" w:rsidRPr="009D66A4" w:rsidRDefault="00B7604B" w:rsidP="00A57564">
      <w:pPr>
        <w:pStyle w:val="3"/>
        <w:rPr>
          <w:rFonts w:eastAsia="Times New Roman"/>
        </w:rPr>
      </w:pPr>
      <w:bookmarkStart w:id="117" w:name="_Toc67401917"/>
      <w:r w:rsidRPr="009D66A4">
        <w:rPr>
          <w:rFonts w:eastAsia="Times New Roman"/>
        </w:rPr>
        <w:t>Η</w:t>
      </w:r>
      <w:r w:rsidR="00A57564">
        <w:rPr>
          <w:rFonts w:eastAsia="Times New Roman"/>
        </w:rPr>
        <w:t xml:space="preserve"> έκδοση του τριακοντα</w:t>
      </w:r>
      <w:r w:rsidRPr="009D66A4">
        <w:rPr>
          <w:rFonts w:eastAsia="Times New Roman"/>
        </w:rPr>
        <w:t>ετούς ομολόγου</w:t>
      </w:r>
      <w:bookmarkEnd w:id="117"/>
    </w:p>
    <w:p w14:paraId="69D2189C" w14:textId="77777777" w:rsidR="00B7604B" w:rsidRPr="00B7604B" w:rsidRDefault="00B7604B" w:rsidP="003B1BE9">
      <w:pPr>
        <w:spacing w:after="0" w:line="276" w:lineRule="auto"/>
        <w:jc w:val="both"/>
        <w:rPr>
          <w:rFonts w:ascii="Calibri Light" w:eastAsia="Calibri" w:hAnsi="Calibri Light" w:cs="Times New Roman"/>
          <w:b/>
          <w:bCs/>
          <w:color w:val="4472C4"/>
        </w:rPr>
      </w:pPr>
    </w:p>
    <w:p w14:paraId="3C0712CE" w14:textId="77777777" w:rsidR="00B7604B" w:rsidRPr="00B7604B" w:rsidRDefault="00B7604B" w:rsidP="003B1BE9">
      <w:pPr>
        <w:spacing w:line="276" w:lineRule="auto"/>
        <w:jc w:val="both"/>
        <w:rPr>
          <w:rFonts w:ascii="Calibri" w:eastAsia="Calibri" w:hAnsi="Calibri" w:cs="Times New Roman"/>
          <w:color w:val="595959"/>
        </w:rPr>
      </w:pPr>
      <w:r w:rsidRPr="00B7604B">
        <w:rPr>
          <w:rFonts w:ascii="Calibri" w:eastAsia="Calibri" w:hAnsi="Calibri" w:cs="Times New Roman"/>
          <w:color w:val="595959"/>
        </w:rPr>
        <w:t xml:space="preserve">Το Ελληνικό δημόσιο στις 17/3/2021 προέβη σε έκδοση τριακονταετούς ομολόγου. Η συναλλαγή, η οποία υπερκαλύφθηκε 10 φορές, ήταν ένα ακόμη ορόσημο για την επιστροφή της χώρας </w:t>
      </w:r>
      <w:r w:rsidR="00B67FD1">
        <w:rPr>
          <w:rFonts w:ascii="Calibri" w:eastAsia="Calibri" w:hAnsi="Calibri" w:cs="Times New Roman"/>
          <w:color w:val="595959"/>
        </w:rPr>
        <w:t>στις διεθνείς κεφαλαιαγορές</w:t>
      </w:r>
      <w:r w:rsidRPr="00B7604B">
        <w:rPr>
          <w:rFonts w:ascii="Calibri" w:eastAsia="Calibri" w:hAnsi="Calibri" w:cs="Times New Roman"/>
          <w:color w:val="595959"/>
        </w:rPr>
        <w:t xml:space="preserve">. Σύμφωνα με τον </w:t>
      </w:r>
      <w:hyperlink r:id="rId74" w:history="1">
        <w:r w:rsidRPr="00616850">
          <w:rPr>
            <w:rFonts w:ascii="Calibri" w:eastAsia="Calibri" w:hAnsi="Calibri" w:cs="Times New Roman"/>
            <w:color w:val="595959"/>
            <w:u w:val="single"/>
          </w:rPr>
          <w:t>ΟΔΔΗΧ</w:t>
        </w:r>
      </w:hyperlink>
      <w:r w:rsidR="001F42F3">
        <w:t>,</w:t>
      </w:r>
      <w:r w:rsidRPr="00B7604B">
        <w:rPr>
          <w:rFonts w:ascii="Calibri" w:eastAsia="Calibri" w:hAnsi="Calibri" w:cs="Times New Roman"/>
          <w:color w:val="595959"/>
        </w:rPr>
        <w:t xml:space="preserve"> το ελληνικό δημόσιο άντλησε 2,5 δις ευρώ από την έκδοση τριακονταετούς ομολόγου με απόδοση 1,956% και </w:t>
      </w:r>
      <w:r w:rsidRPr="00B7604B">
        <w:rPr>
          <w:rFonts w:ascii="Calibri" w:eastAsia="Calibri" w:hAnsi="Calibri" w:cs="Times New Roman"/>
          <w:color w:val="595959"/>
        </w:rPr>
        <w:lastRenderedPageBreak/>
        <w:t xml:space="preserve">κουπόνι 1,875%. </w:t>
      </w:r>
      <w:r w:rsidRPr="00B7604B">
        <w:rPr>
          <w:rFonts w:ascii="Calibri" w:eastAsia="Calibri" w:hAnsi="Calibri" w:cs="Times New Roman"/>
          <w:color w:val="595959"/>
          <w:lang w:val="en-US"/>
        </w:rPr>
        <w:t>O</w:t>
      </w:r>
      <w:r w:rsidRPr="00B7604B">
        <w:rPr>
          <w:rFonts w:ascii="Calibri" w:eastAsia="Calibri" w:hAnsi="Calibri" w:cs="Times New Roman"/>
          <w:color w:val="595959"/>
        </w:rPr>
        <w:t xml:space="preserve">ι προσφορές των επενδυτών (που ξεπέρασαν τους 250) </w:t>
      </w:r>
      <w:r w:rsidR="001F42F3">
        <w:rPr>
          <w:rFonts w:ascii="Calibri" w:eastAsia="Calibri" w:hAnsi="Calibri" w:cs="Times New Roman"/>
          <w:color w:val="595959"/>
        </w:rPr>
        <w:t>ανήλθαν σε επίπεδα υψηλότερα των</w:t>
      </w:r>
      <w:r w:rsidRPr="00B7604B">
        <w:rPr>
          <w:rFonts w:ascii="Calibri" w:eastAsia="Calibri" w:hAnsi="Calibri" w:cs="Times New Roman"/>
          <w:color w:val="595959"/>
        </w:rPr>
        <w:t xml:space="preserve"> 25 δις ευρώ.</w:t>
      </w:r>
    </w:p>
    <w:p w14:paraId="76694585" w14:textId="0FBF7652" w:rsidR="00B7604B" w:rsidRPr="00B7604B" w:rsidRDefault="00B7604B" w:rsidP="003B1BE9">
      <w:pPr>
        <w:spacing w:line="276" w:lineRule="auto"/>
        <w:jc w:val="both"/>
        <w:rPr>
          <w:rFonts w:ascii="Calibri" w:eastAsia="Calibri" w:hAnsi="Calibri" w:cs="Times New Roman"/>
          <w:color w:val="595959"/>
        </w:rPr>
      </w:pPr>
      <w:r w:rsidRPr="00B7604B">
        <w:rPr>
          <w:rFonts w:ascii="Calibri" w:eastAsia="Calibri" w:hAnsi="Calibri" w:cs="Times New Roman"/>
          <w:color w:val="595959"/>
        </w:rPr>
        <w:t>Στη δημοπρασία</w:t>
      </w:r>
      <w:r w:rsidR="001F42F3">
        <w:rPr>
          <w:rFonts w:ascii="Calibri" w:eastAsia="Calibri" w:hAnsi="Calibri" w:cs="Times New Roman"/>
          <w:color w:val="595959"/>
        </w:rPr>
        <w:t>,</w:t>
      </w:r>
      <w:r w:rsidRPr="00B7604B">
        <w:rPr>
          <w:rFonts w:ascii="Calibri" w:eastAsia="Calibri" w:hAnsi="Calibri" w:cs="Times New Roman"/>
          <w:color w:val="595959"/>
        </w:rPr>
        <w:t xml:space="preserve"> </w:t>
      </w:r>
      <w:r w:rsidR="001F42F3" w:rsidRPr="00B7604B">
        <w:rPr>
          <w:rFonts w:ascii="Calibri" w:eastAsia="Calibri" w:hAnsi="Calibri" w:cs="Times New Roman"/>
          <w:color w:val="595959"/>
        </w:rPr>
        <w:t xml:space="preserve">έντονη </w:t>
      </w:r>
      <w:r w:rsidRPr="00B7604B">
        <w:rPr>
          <w:rFonts w:ascii="Calibri" w:eastAsia="Calibri" w:hAnsi="Calibri" w:cs="Times New Roman"/>
          <w:color w:val="595959"/>
        </w:rPr>
        <w:t>ήταν η συμμετοχή των ξένων επενδυτών (90,0%). Οι κυριότερες συμμετοχές είχαν ως εξής: 24,0% από το Ηνωμένο Βασίλειο, 14,0% από τη Γαλλία, 12% από Γερμανία-Αυστρία-Ελβετία, 11,0% από την Ιβηρική, από 9,0% οι ΗΠΑ και οι Σκανδιναβικές χώρες, 5,0% από Ιταλία και 7,0% από το</w:t>
      </w:r>
      <w:r w:rsidR="00DF31DC">
        <w:rPr>
          <w:rFonts w:ascii="Calibri" w:eastAsia="Calibri" w:hAnsi="Calibri" w:cs="Times New Roman"/>
          <w:color w:val="595959"/>
        </w:rPr>
        <w:t>ν</w:t>
      </w:r>
      <w:r w:rsidRPr="00B7604B">
        <w:rPr>
          <w:rFonts w:ascii="Calibri" w:eastAsia="Calibri" w:hAnsi="Calibri" w:cs="Times New Roman"/>
          <w:color w:val="595959"/>
        </w:rPr>
        <w:t xml:space="preserve"> υπόλοιπο κόσμο.</w:t>
      </w:r>
    </w:p>
    <w:p w14:paraId="3F9CF39B" w14:textId="77777777" w:rsidR="00B7604B" w:rsidRPr="002A5514" w:rsidRDefault="00B7604B" w:rsidP="003B1BE9">
      <w:pPr>
        <w:spacing w:after="0" w:line="276" w:lineRule="auto"/>
        <w:jc w:val="both"/>
        <w:rPr>
          <w:rFonts w:ascii="Calibri" w:eastAsia="Calibri" w:hAnsi="Calibri" w:cs="Times New Roman"/>
          <w:color w:val="595959"/>
        </w:rPr>
      </w:pPr>
      <w:r w:rsidRPr="00B7604B">
        <w:rPr>
          <w:rFonts w:ascii="Calibri" w:eastAsia="Calibri" w:hAnsi="Calibri" w:cs="Times New Roman"/>
          <w:color w:val="595959"/>
        </w:rPr>
        <w:t>Σχετικά με το είδος των επενδυτών που συμμετείχαν, το 49,0% ήταν Διαχειριστές περιουσιακών στοιχείων (</w:t>
      </w:r>
      <w:r w:rsidRPr="00B7604B">
        <w:rPr>
          <w:rFonts w:ascii="Calibri" w:eastAsia="Calibri" w:hAnsi="Calibri" w:cs="Times New Roman"/>
          <w:color w:val="595959"/>
          <w:lang w:val="en-US"/>
        </w:rPr>
        <w:t>Asset</w:t>
      </w:r>
      <w:r w:rsidRPr="00B7604B">
        <w:rPr>
          <w:rFonts w:ascii="Calibri" w:eastAsia="Calibri" w:hAnsi="Calibri" w:cs="Times New Roman"/>
          <w:color w:val="595959"/>
        </w:rPr>
        <w:t xml:space="preserve"> </w:t>
      </w:r>
      <w:r w:rsidRPr="00B7604B">
        <w:rPr>
          <w:rFonts w:ascii="Calibri" w:eastAsia="Calibri" w:hAnsi="Calibri" w:cs="Times New Roman"/>
          <w:color w:val="595959"/>
          <w:lang w:val="en-US"/>
        </w:rPr>
        <w:t>Managers</w:t>
      </w:r>
      <w:r w:rsidRPr="00B7604B">
        <w:rPr>
          <w:rFonts w:ascii="Calibri" w:eastAsia="Calibri" w:hAnsi="Calibri" w:cs="Times New Roman"/>
          <w:color w:val="595959"/>
        </w:rPr>
        <w:t xml:space="preserve">), το 25,0% Τράπεζες, 12,0% Ασφαλιστικά-Συνταξιοδοτικά Ταμεία, το 9,0% ήταν </w:t>
      </w:r>
      <w:r w:rsidRPr="00B7604B">
        <w:rPr>
          <w:rFonts w:ascii="Calibri" w:eastAsia="Calibri" w:hAnsi="Calibri" w:cs="Times New Roman"/>
          <w:color w:val="595959"/>
          <w:lang w:val="en-US"/>
        </w:rPr>
        <w:t>Hedge</w:t>
      </w:r>
      <w:r w:rsidRPr="00B7604B">
        <w:rPr>
          <w:rFonts w:ascii="Calibri" w:eastAsia="Calibri" w:hAnsi="Calibri" w:cs="Times New Roman"/>
          <w:color w:val="595959"/>
        </w:rPr>
        <w:t xml:space="preserve"> </w:t>
      </w:r>
      <w:r w:rsidRPr="00B7604B">
        <w:rPr>
          <w:rFonts w:ascii="Calibri" w:eastAsia="Calibri" w:hAnsi="Calibri" w:cs="Times New Roman"/>
          <w:color w:val="595959"/>
          <w:lang w:val="en-US"/>
        </w:rPr>
        <w:t>funds</w:t>
      </w:r>
      <w:r w:rsidRPr="00B7604B">
        <w:rPr>
          <w:rFonts w:ascii="Calibri" w:eastAsia="Calibri" w:hAnsi="Calibri" w:cs="Times New Roman"/>
          <w:color w:val="595959"/>
        </w:rPr>
        <w:t>, 4,0% ο επίσημος τομέας (</w:t>
      </w:r>
      <w:r w:rsidRPr="00B7604B">
        <w:rPr>
          <w:rFonts w:ascii="Calibri" w:eastAsia="Calibri" w:hAnsi="Calibri" w:cs="Times New Roman"/>
          <w:color w:val="595959"/>
          <w:lang w:val="en-US"/>
        </w:rPr>
        <w:t>Official</w:t>
      </w:r>
      <w:r w:rsidRPr="00B7604B">
        <w:rPr>
          <w:rFonts w:ascii="Calibri" w:eastAsia="Calibri" w:hAnsi="Calibri" w:cs="Times New Roman"/>
          <w:color w:val="595959"/>
        </w:rPr>
        <w:t xml:space="preserve"> </w:t>
      </w:r>
      <w:r w:rsidRPr="00B7604B">
        <w:rPr>
          <w:rFonts w:ascii="Calibri" w:eastAsia="Calibri" w:hAnsi="Calibri" w:cs="Times New Roman"/>
          <w:color w:val="595959"/>
          <w:lang w:val="en-US"/>
        </w:rPr>
        <w:t>Institutions</w:t>
      </w:r>
      <w:r w:rsidRPr="00B7604B">
        <w:rPr>
          <w:rFonts w:ascii="Calibri" w:eastAsia="Calibri" w:hAnsi="Calibri" w:cs="Times New Roman"/>
          <w:color w:val="595959"/>
        </w:rPr>
        <w:t>) και το υπόλοιπο 1% άλλοι επενδυτές.</w:t>
      </w:r>
    </w:p>
    <w:p w14:paraId="033A578E" w14:textId="77777777" w:rsidR="003972EE" w:rsidRPr="00575A7E" w:rsidRDefault="00AE505C" w:rsidP="003B1BE9">
      <w:pPr>
        <w:spacing w:after="0" w:line="276" w:lineRule="auto"/>
        <w:jc w:val="both"/>
        <w:rPr>
          <w:rFonts w:ascii="Calibri" w:eastAsia="Calibri" w:hAnsi="Calibri" w:cs="Times New Roman"/>
          <w:color w:val="595959"/>
        </w:rPr>
      </w:pPr>
      <w:hyperlink w:history="1"/>
    </w:p>
    <w:p w14:paraId="703D98AE" w14:textId="77777777" w:rsidR="002B31FF" w:rsidRDefault="003972EE" w:rsidP="003B1BE9">
      <w:pPr>
        <w:pStyle w:val="3"/>
        <w:spacing w:before="0" w:line="276" w:lineRule="auto"/>
        <w:jc w:val="both"/>
        <w:rPr>
          <w:rFonts w:ascii="inherit" w:eastAsia="Times New Roman" w:hAnsi="inherit" w:cs="Times New Roman"/>
          <w:color w:val="555555"/>
          <w:sz w:val="27"/>
          <w:szCs w:val="27"/>
          <w:lang w:bidi="he-IL"/>
        </w:rPr>
      </w:pPr>
      <w:bookmarkStart w:id="118" w:name="_Toc50131959"/>
      <w:bookmarkStart w:id="119" w:name="_Toc67401918"/>
      <w:r w:rsidRPr="00575A7E">
        <w:rPr>
          <w:rFonts w:eastAsia="Times New Roman"/>
        </w:rPr>
        <w:t>Η έκδοση του δεκαετούς ομολόγου</w:t>
      </w:r>
      <w:bookmarkEnd w:id="118"/>
      <w:bookmarkEnd w:id="119"/>
      <w:r w:rsidR="008D512F" w:rsidRPr="008D512F">
        <w:rPr>
          <w:rFonts w:ascii="inherit" w:eastAsia="Times New Roman" w:hAnsi="inherit" w:cs="Times New Roman"/>
          <w:color w:val="555555"/>
          <w:sz w:val="27"/>
          <w:szCs w:val="27"/>
          <w:lang w:bidi="he-IL"/>
        </w:rPr>
        <w:t xml:space="preserve"> </w:t>
      </w:r>
    </w:p>
    <w:p w14:paraId="061750F7" w14:textId="77777777" w:rsidR="002B31FF" w:rsidRPr="00DD1444" w:rsidRDefault="002B31FF" w:rsidP="003B1BE9">
      <w:pPr>
        <w:spacing w:after="0" w:line="276" w:lineRule="auto"/>
        <w:rPr>
          <w:lang w:bidi="he-IL"/>
        </w:rPr>
      </w:pPr>
    </w:p>
    <w:p w14:paraId="4789C09D" w14:textId="6246B382" w:rsidR="003972EE" w:rsidRPr="00575A7E" w:rsidRDefault="003972EE" w:rsidP="003B1BE9">
      <w:pPr>
        <w:spacing w:line="276" w:lineRule="auto"/>
        <w:jc w:val="both"/>
        <w:rPr>
          <w:rFonts w:ascii="Calibri" w:eastAsia="Calibri" w:hAnsi="Calibri" w:cs="Times New Roman"/>
          <w:color w:val="595959"/>
        </w:rPr>
      </w:pPr>
      <w:r w:rsidRPr="00575A7E">
        <w:rPr>
          <w:rFonts w:ascii="Calibri" w:eastAsia="Calibri" w:hAnsi="Calibri" w:cs="Times New Roman"/>
          <w:color w:val="595959"/>
        </w:rPr>
        <w:t>Παρά τις εξαιρετικά δυσμενείς επιπτώσεις της πανδημίας στην παγκόσμια οικονομική δραστηριότητα</w:t>
      </w:r>
      <w:r w:rsidR="001F42F3">
        <w:rPr>
          <w:rFonts w:ascii="Calibri" w:eastAsia="Calibri" w:hAnsi="Calibri" w:cs="Times New Roman"/>
          <w:color w:val="595959"/>
        </w:rPr>
        <w:t>,</w:t>
      </w:r>
      <w:r w:rsidRPr="00575A7E">
        <w:rPr>
          <w:rFonts w:ascii="Calibri" w:eastAsia="Calibri" w:hAnsi="Calibri" w:cs="Times New Roman"/>
          <w:color w:val="595959"/>
        </w:rPr>
        <w:t xml:space="preserve"> η πρόσβαση του Ελληνικού Δημοσίου στις διεθνείς αγορές με ευνοϊκούς όρους</w:t>
      </w:r>
      <w:r w:rsidRPr="00575A7E">
        <w:t xml:space="preserve"> </w:t>
      </w:r>
      <w:r w:rsidRPr="00575A7E">
        <w:rPr>
          <w:rFonts w:ascii="Calibri" w:eastAsia="Calibri" w:hAnsi="Calibri" w:cs="Times New Roman"/>
          <w:color w:val="595959"/>
        </w:rPr>
        <w:t xml:space="preserve">συνεχίστηκε. Σύμφωνα με τον </w:t>
      </w:r>
      <w:hyperlink r:id="rId75" w:history="1">
        <w:r w:rsidRPr="00575A7E">
          <w:rPr>
            <w:rStyle w:val="-"/>
            <w:color w:val="595959"/>
          </w:rPr>
          <w:t>ΟΔΔΗΧ</w:t>
        </w:r>
      </w:hyperlink>
      <w:r w:rsidR="001F42F3">
        <w:t>,</w:t>
      </w:r>
      <w:r w:rsidRPr="00575A7E">
        <w:rPr>
          <w:rFonts w:ascii="Calibri" w:eastAsia="Calibri" w:hAnsi="Calibri" w:cs="Times New Roman"/>
          <w:color w:val="595959"/>
        </w:rPr>
        <w:t xml:space="preserve"> το ελληνικό δημόσιο άντλησε 3,5 δις ευρώ από την έκδοση δεκαετούς ομολόγου με απόδοση 0,807% αρκετά χαμηλότερη από την </w:t>
      </w:r>
      <w:hyperlink r:id="rId76" w:history="1">
        <w:r w:rsidRPr="00575A7E">
          <w:rPr>
            <w:rStyle w:val="-"/>
            <w:rFonts w:ascii="Calibri" w:eastAsia="Calibri" w:hAnsi="Calibri" w:cs="Times New Roman"/>
            <w:color w:val="595959"/>
          </w:rPr>
          <w:t>έκδοση του Σεπτεμβρίου του 2020</w:t>
        </w:r>
      </w:hyperlink>
      <w:r w:rsidRPr="00575A7E">
        <w:rPr>
          <w:rFonts w:ascii="Calibri" w:eastAsia="Calibri" w:hAnsi="Calibri" w:cs="Times New Roman"/>
          <w:color w:val="595959"/>
        </w:rPr>
        <w:t xml:space="preserve"> (με απόδοση 1,187%) και κουπόνι 0,75%. </w:t>
      </w:r>
      <w:r w:rsidRPr="00575A7E">
        <w:rPr>
          <w:rFonts w:ascii="Calibri" w:eastAsia="Calibri" w:hAnsi="Calibri" w:cs="Times New Roman"/>
          <w:color w:val="595959"/>
          <w:lang w:val="en-US"/>
        </w:rPr>
        <w:t>O</w:t>
      </w:r>
      <w:r w:rsidRPr="00575A7E">
        <w:rPr>
          <w:rFonts w:ascii="Calibri" w:eastAsia="Calibri" w:hAnsi="Calibri" w:cs="Times New Roman"/>
          <w:color w:val="595959"/>
        </w:rPr>
        <w:t xml:space="preserve">ι προσφορές των επενδυτών (που ξεπέρασαν τους 300) </w:t>
      </w:r>
      <w:r w:rsidR="001F42F3">
        <w:rPr>
          <w:rFonts w:ascii="Calibri" w:eastAsia="Calibri" w:hAnsi="Calibri" w:cs="Times New Roman"/>
          <w:color w:val="595959"/>
        </w:rPr>
        <w:t>υπερέβησαν</w:t>
      </w:r>
      <w:r w:rsidR="001F42F3" w:rsidRPr="00575A7E">
        <w:rPr>
          <w:rFonts w:ascii="Calibri" w:eastAsia="Calibri" w:hAnsi="Calibri" w:cs="Times New Roman"/>
          <w:color w:val="595959"/>
        </w:rPr>
        <w:t xml:space="preserve"> </w:t>
      </w:r>
      <w:r w:rsidRPr="00575A7E">
        <w:rPr>
          <w:rFonts w:ascii="Calibri" w:eastAsia="Calibri" w:hAnsi="Calibri" w:cs="Times New Roman"/>
          <w:color w:val="595959"/>
        </w:rPr>
        <w:t>τα 29 δις ευρώ.</w:t>
      </w:r>
    </w:p>
    <w:p w14:paraId="0AAF194F" w14:textId="654898C7" w:rsidR="003972EE" w:rsidRPr="00575A7E" w:rsidRDefault="001F42F3" w:rsidP="003B1BE9">
      <w:pPr>
        <w:spacing w:line="276" w:lineRule="auto"/>
        <w:jc w:val="both"/>
        <w:rPr>
          <w:rFonts w:ascii="Calibri" w:eastAsia="Calibri" w:hAnsi="Calibri" w:cs="Times New Roman"/>
          <w:color w:val="595959"/>
        </w:rPr>
      </w:pPr>
      <w:r>
        <w:rPr>
          <w:rFonts w:ascii="Calibri" w:eastAsia="Calibri" w:hAnsi="Calibri" w:cs="Times New Roman"/>
          <w:color w:val="595959"/>
        </w:rPr>
        <w:t>Και σε αυτή</w:t>
      </w:r>
      <w:r w:rsidR="00DF31DC">
        <w:rPr>
          <w:rFonts w:ascii="Calibri" w:eastAsia="Calibri" w:hAnsi="Calibri" w:cs="Times New Roman"/>
          <w:color w:val="595959"/>
        </w:rPr>
        <w:t>ν</w:t>
      </w:r>
      <w:r>
        <w:rPr>
          <w:rFonts w:ascii="Calibri" w:eastAsia="Calibri" w:hAnsi="Calibri" w:cs="Times New Roman"/>
          <w:color w:val="595959"/>
        </w:rPr>
        <w:t xml:space="preserve"> τη</w:t>
      </w:r>
      <w:r w:rsidR="003972EE" w:rsidRPr="00575A7E">
        <w:rPr>
          <w:rFonts w:ascii="Calibri" w:eastAsia="Calibri" w:hAnsi="Calibri" w:cs="Times New Roman"/>
          <w:color w:val="595959"/>
        </w:rPr>
        <w:t xml:space="preserve"> δημοπρασία</w:t>
      </w:r>
      <w:r>
        <w:rPr>
          <w:rFonts w:ascii="Calibri" w:eastAsia="Calibri" w:hAnsi="Calibri" w:cs="Times New Roman"/>
          <w:color w:val="595959"/>
        </w:rPr>
        <w:t>,</w:t>
      </w:r>
      <w:r w:rsidR="003972EE" w:rsidRPr="00575A7E">
        <w:rPr>
          <w:rFonts w:ascii="Calibri" w:eastAsia="Calibri" w:hAnsi="Calibri" w:cs="Times New Roman"/>
          <w:color w:val="595959"/>
        </w:rPr>
        <w:t xml:space="preserve"> </w:t>
      </w:r>
      <w:r w:rsidRPr="00575A7E">
        <w:rPr>
          <w:rFonts w:ascii="Calibri" w:eastAsia="Calibri" w:hAnsi="Calibri" w:cs="Times New Roman"/>
          <w:color w:val="595959"/>
        </w:rPr>
        <w:t xml:space="preserve">έντονη </w:t>
      </w:r>
      <w:r w:rsidR="003972EE" w:rsidRPr="00575A7E">
        <w:rPr>
          <w:rFonts w:ascii="Calibri" w:eastAsia="Calibri" w:hAnsi="Calibri" w:cs="Times New Roman"/>
          <w:color w:val="595959"/>
        </w:rPr>
        <w:t>ήταν η συμμετοχή των ξένων επενδυτών (93,0%). Οι κυριότερες συμμετοχές είχαν ως εξής: 30,0% από το Ηνωμένο Βασίλειο, 12,0% από τη Γαλλία, 11% από τις Σκανδιναβικές χώρες, 10% από Ιταλία, 9% οι ΗΠΑ, 7% οι Γερμανία-Αυστρία</w:t>
      </w:r>
      <w:r w:rsidR="00DF31DC">
        <w:rPr>
          <w:rFonts w:ascii="Calibri" w:eastAsia="Calibri" w:hAnsi="Calibri" w:cs="Times New Roman"/>
          <w:color w:val="595959"/>
        </w:rPr>
        <w:t>,</w:t>
      </w:r>
      <w:r w:rsidR="003972EE" w:rsidRPr="00575A7E">
        <w:rPr>
          <w:rFonts w:ascii="Calibri" w:eastAsia="Calibri" w:hAnsi="Calibri" w:cs="Times New Roman"/>
          <w:color w:val="595959"/>
        </w:rPr>
        <w:t xml:space="preserve"> 6,0% από την Ιβηρική, 7% από την υπόλοιπη Ευρώπη και 1% άλλοι. </w:t>
      </w:r>
    </w:p>
    <w:p w14:paraId="7A6AB01B" w14:textId="77777777" w:rsidR="003972EE" w:rsidRDefault="003972EE" w:rsidP="003B1BE9">
      <w:p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Σχετικά με το είδος των επενδυτών που συμμετείχαν, το 57,0% ήταν Διαχειριστές περιουσιακών στοιχείων (</w:t>
      </w:r>
      <w:r w:rsidRPr="00575A7E">
        <w:rPr>
          <w:rFonts w:ascii="Calibri" w:eastAsia="Calibri" w:hAnsi="Calibri" w:cs="Times New Roman"/>
          <w:color w:val="595959"/>
          <w:lang w:val="en-US"/>
        </w:rPr>
        <w:t>Asset</w:t>
      </w:r>
      <w:r w:rsidRPr="00575A7E">
        <w:rPr>
          <w:rFonts w:ascii="Calibri" w:eastAsia="Calibri" w:hAnsi="Calibri" w:cs="Times New Roman"/>
          <w:color w:val="595959"/>
        </w:rPr>
        <w:t xml:space="preserve"> </w:t>
      </w:r>
      <w:r w:rsidRPr="00575A7E">
        <w:rPr>
          <w:rFonts w:ascii="Calibri" w:eastAsia="Calibri" w:hAnsi="Calibri" w:cs="Times New Roman"/>
          <w:color w:val="595959"/>
          <w:lang w:val="en-US"/>
        </w:rPr>
        <w:t>Managers</w:t>
      </w:r>
      <w:r w:rsidRPr="00575A7E">
        <w:rPr>
          <w:rFonts w:ascii="Calibri" w:eastAsia="Calibri" w:hAnsi="Calibri" w:cs="Times New Roman"/>
          <w:color w:val="595959"/>
        </w:rPr>
        <w:t xml:space="preserve">), το 28,0% Τράπεζες, 7,0% Ασφαλιστικά-Συνταξιοδοτικά Ταμεία, το 5,0% ήταν </w:t>
      </w:r>
      <w:r w:rsidRPr="00575A7E">
        <w:rPr>
          <w:rFonts w:ascii="Calibri" w:eastAsia="Calibri" w:hAnsi="Calibri" w:cs="Times New Roman"/>
          <w:color w:val="595959"/>
          <w:lang w:val="en-US"/>
        </w:rPr>
        <w:t>Hedge</w:t>
      </w:r>
      <w:r w:rsidRPr="00575A7E">
        <w:rPr>
          <w:rFonts w:ascii="Calibri" w:eastAsia="Calibri" w:hAnsi="Calibri" w:cs="Times New Roman"/>
          <w:color w:val="595959"/>
        </w:rPr>
        <w:t xml:space="preserve"> </w:t>
      </w:r>
      <w:r w:rsidRPr="00575A7E">
        <w:rPr>
          <w:rFonts w:ascii="Calibri" w:eastAsia="Calibri" w:hAnsi="Calibri" w:cs="Times New Roman"/>
          <w:color w:val="595959"/>
          <w:lang w:val="en-US"/>
        </w:rPr>
        <w:t>funds</w:t>
      </w:r>
      <w:r w:rsidRPr="00575A7E">
        <w:rPr>
          <w:rFonts w:ascii="Calibri" w:eastAsia="Calibri" w:hAnsi="Calibri" w:cs="Times New Roman"/>
          <w:color w:val="595959"/>
        </w:rPr>
        <w:t>, και το υπόλοιπο 3,0% κεντρικές τράπεζες.</w:t>
      </w:r>
    </w:p>
    <w:p w14:paraId="69F2F5CA" w14:textId="77777777" w:rsidR="00010CE5" w:rsidRDefault="00010CE5" w:rsidP="003B1BE9">
      <w:pPr>
        <w:spacing w:after="0" w:line="276" w:lineRule="auto"/>
        <w:jc w:val="both"/>
        <w:rPr>
          <w:rFonts w:ascii="Calibri" w:eastAsia="Calibri" w:hAnsi="Calibri" w:cs="Times New Roman"/>
          <w:color w:val="595959"/>
        </w:rPr>
      </w:pPr>
    </w:p>
    <w:p w14:paraId="28CC3B7F" w14:textId="59FA8A30" w:rsidR="00010CE5" w:rsidRPr="00DD1444" w:rsidRDefault="009926BC" w:rsidP="003B1BE9">
      <w:pPr>
        <w:pStyle w:val="3"/>
        <w:spacing w:line="276" w:lineRule="auto"/>
        <w:rPr>
          <w:b w:val="0"/>
          <w:bCs w:val="0"/>
        </w:rPr>
      </w:pPr>
      <w:bookmarkStart w:id="120" w:name="_Toc67401919"/>
      <w:r>
        <w:t>Η πρόωρη α</w:t>
      </w:r>
      <w:r w:rsidR="00010CE5" w:rsidRPr="00DD1444">
        <w:t>ποπληρωμή του Διεθνούς Νομισματικού Ταμείου</w:t>
      </w:r>
      <w:bookmarkEnd w:id="120"/>
    </w:p>
    <w:p w14:paraId="3E134D4E" w14:textId="77777777" w:rsidR="00D56430" w:rsidRPr="00D56430" w:rsidRDefault="00D56430" w:rsidP="003B1BE9">
      <w:pPr>
        <w:spacing w:after="0" w:line="276" w:lineRule="auto"/>
        <w:jc w:val="both"/>
        <w:rPr>
          <w:rFonts w:ascii="Calibri" w:eastAsia="Calibri" w:hAnsi="Calibri" w:cs="Times New Roman"/>
          <w:color w:val="595959"/>
        </w:rPr>
      </w:pPr>
    </w:p>
    <w:p w14:paraId="06D36E86" w14:textId="450460BA" w:rsidR="008D512F" w:rsidRPr="00D32BA8" w:rsidRDefault="00D56430" w:rsidP="00D32BA8">
      <w:pPr>
        <w:spacing w:line="276" w:lineRule="auto"/>
        <w:jc w:val="both"/>
        <w:rPr>
          <w:rFonts w:ascii="Calibri" w:eastAsia="Calibri" w:hAnsi="Calibri" w:cs="Arial"/>
          <w:color w:val="595959"/>
          <w:lang w:bidi="he-IL"/>
        </w:rPr>
      </w:pPr>
      <w:r w:rsidRPr="00D56430">
        <w:rPr>
          <w:rFonts w:ascii="Calibri" w:eastAsia="Calibri" w:hAnsi="Calibri" w:cs="Arial"/>
          <w:color w:val="595959"/>
          <w:lang w:bidi="he-IL"/>
        </w:rPr>
        <w:t xml:space="preserve">Στις </w:t>
      </w:r>
      <w:r w:rsidR="001F42F3">
        <w:rPr>
          <w:rFonts w:ascii="Calibri" w:eastAsia="Calibri" w:hAnsi="Calibri" w:cs="Arial"/>
          <w:color w:val="595959"/>
          <w:lang w:bidi="he-IL"/>
        </w:rPr>
        <w:t>18 Μαρτίου 2021</w:t>
      </w:r>
      <w:r w:rsidRPr="00D56430">
        <w:rPr>
          <w:rFonts w:ascii="Calibri" w:eastAsia="Calibri" w:hAnsi="Calibri" w:cs="Arial"/>
          <w:color w:val="595959"/>
          <w:lang w:bidi="he-IL"/>
        </w:rPr>
        <w:t xml:space="preserve"> ολοκληρώθηκε η διαδικασία της </w:t>
      </w:r>
      <w:hyperlink r:id="rId77" w:history="1">
        <w:r w:rsidRPr="00D56430">
          <w:rPr>
            <w:rFonts w:ascii="Calibri" w:eastAsia="Calibri" w:hAnsi="Calibri" w:cs="Arial"/>
            <w:color w:val="595959"/>
            <w:u w:val="single"/>
            <w:lang w:bidi="he-IL"/>
          </w:rPr>
          <w:t>νέας πρόωρης αποπληρωμής</w:t>
        </w:r>
      </w:hyperlink>
      <w:r w:rsidRPr="00D56430">
        <w:rPr>
          <w:rFonts w:ascii="Calibri" w:eastAsia="Calibri" w:hAnsi="Calibri" w:cs="Arial"/>
          <w:color w:val="595959"/>
          <w:lang w:bidi="he-IL"/>
        </w:rPr>
        <w:t xml:space="preserve"> τμήματος των υφιστάμενων δανείων που έχει λάβει η Ελλάδα από το Διεθνές Νομισματικό Ταμείο. Είναι η δεύτερη αποπληρωμή που λαμβάνει χ</w:t>
      </w:r>
      <w:r w:rsidR="00B67FD1">
        <w:rPr>
          <w:rFonts w:ascii="Calibri" w:eastAsia="Calibri" w:hAnsi="Calibri" w:cs="Arial"/>
          <w:color w:val="595959"/>
          <w:lang w:bidi="he-IL"/>
        </w:rPr>
        <w:t xml:space="preserve">ώρα από τον Ιούλιο του 2019, </w:t>
      </w:r>
      <w:r w:rsidRPr="00D56430">
        <w:rPr>
          <w:rFonts w:ascii="Calibri" w:eastAsia="Calibri" w:hAnsi="Calibri" w:cs="Arial"/>
          <w:color w:val="595959"/>
          <w:lang w:bidi="he-IL"/>
        </w:rPr>
        <w:t>εξοφλώντας έτσι 6 δις ευρώ από τα συνολικά περίπου 8 δις ευρώ του δανεισμού από το ΔΝΤ μέχρι το καλοκαίρι του 2019 (περίπου το 75%). Επισημαίνεται ότι το μέρος του δανείου που αποπληρώθηκε είναι ύψους</w:t>
      </w:r>
      <w:r w:rsidRPr="00D56430">
        <w:rPr>
          <w:rFonts w:ascii="Calibri" w:eastAsia="Calibri" w:hAnsi="Calibri" w:cs="Arial"/>
          <w:color w:val="595959"/>
          <w:lang w:val="en-US" w:bidi="he-IL"/>
        </w:rPr>
        <w:t> </w:t>
      </w:r>
      <w:r w:rsidRPr="00D56430">
        <w:rPr>
          <w:rFonts w:ascii="Calibri" w:eastAsia="Calibri" w:hAnsi="Calibri" w:cs="Arial"/>
          <w:color w:val="595959"/>
          <w:lang w:bidi="he-IL"/>
        </w:rPr>
        <w:t>3,3</w:t>
      </w:r>
      <w:r w:rsidRPr="00D56430">
        <w:rPr>
          <w:rFonts w:ascii="Calibri" w:eastAsia="Calibri" w:hAnsi="Calibri" w:cs="Arial"/>
          <w:color w:val="595959"/>
          <w:lang w:val="en-US" w:bidi="he-IL"/>
        </w:rPr>
        <w:t> </w:t>
      </w:r>
      <w:r w:rsidRPr="00D56430">
        <w:rPr>
          <w:rFonts w:ascii="Calibri" w:eastAsia="Calibri" w:hAnsi="Calibri" w:cs="Arial"/>
          <w:color w:val="595959"/>
          <w:lang w:bidi="he-IL"/>
        </w:rPr>
        <w:t xml:space="preserve">δις ευρώ και αφορά τα ποσά των χρεολυσίων που θα αποπληρώνονταν </w:t>
      </w:r>
      <w:r w:rsidR="00B67FD1">
        <w:rPr>
          <w:rFonts w:ascii="Calibri" w:eastAsia="Calibri" w:hAnsi="Calibri" w:cs="Arial"/>
          <w:color w:val="595959"/>
          <w:lang w:bidi="he-IL"/>
        </w:rPr>
        <w:t>από τις</w:t>
      </w:r>
      <w:r w:rsidRPr="00D56430">
        <w:rPr>
          <w:rFonts w:ascii="Calibri" w:eastAsia="Calibri" w:hAnsi="Calibri" w:cs="Arial"/>
          <w:color w:val="595959"/>
          <w:lang w:val="en-US" w:bidi="he-IL"/>
        </w:rPr>
        <w:t> </w:t>
      </w:r>
      <w:r w:rsidRPr="00D56430">
        <w:rPr>
          <w:rFonts w:ascii="Calibri" w:eastAsia="Calibri" w:hAnsi="Calibri" w:cs="Arial"/>
          <w:color w:val="595959"/>
          <w:lang w:bidi="he-IL"/>
        </w:rPr>
        <w:t>19 Μαρτίου</w:t>
      </w:r>
      <w:r w:rsidRPr="00D56430">
        <w:rPr>
          <w:rFonts w:ascii="Calibri" w:eastAsia="Calibri" w:hAnsi="Calibri" w:cs="Arial"/>
          <w:color w:val="595959"/>
          <w:lang w:val="en-US" w:bidi="he-IL"/>
        </w:rPr>
        <w:t> </w:t>
      </w:r>
      <w:r w:rsidR="00B67FD1">
        <w:rPr>
          <w:rFonts w:ascii="Calibri" w:eastAsia="Calibri" w:hAnsi="Calibri" w:cs="Arial"/>
          <w:color w:val="595959"/>
          <w:lang w:bidi="he-IL"/>
        </w:rPr>
        <w:t xml:space="preserve">του 2021 </w:t>
      </w:r>
      <w:r w:rsidRPr="00D56430">
        <w:rPr>
          <w:rFonts w:ascii="Calibri" w:eastAsia="Calibri" w:hAnsi="Calibri" w:cs="Arial"/>
          <w:color w:val="595959"/>
          <w:lang w:bidi="he-IL"/>
        </w:rPr>
        <w:t>έως και τις</w:t>
      </w:r>
      <w:r w:rsidRPr="00D56430">
        <w:rPr>
          <w:rFonts w:ascii="Calibri" w:eastAsia="Calibri" w:hAnsi="Calibri" w:cs="Arial"/>
          <w:color w:val="595959"/>
          <w:lang w:val="en-US" w:bidi="he-IL"/>
        </w:rPr>
        <w:t> </w:t>
      </w:r>
      <w:r w:rsidRPr="00D56430">
        <w:rPr>
          <w:rFonts w:ascii="Calibri" w:eastAsia="Calibri" w:hAnsi="Calibri" w:cs="Arial"/>
          <w:color w:val="595959"/>
          <w:lang w:bidi="he-IL"/>
        </w:rPr>
        <w:t xml:space="preserve">2 Δεκεμβρίου 2022. Η παραπάνω αποπληρωμή είναι σημαντική διότι μειώνεται ο </w:t>
      </w:r>
      <w:proofErr w:type="spellStart"/>
      <w:r w:rsidRPr="00D56430">
        <w:rPr>
          <w:rFonts w:ascii="Calibri" w:eastAsia="Calibri" w:hAnsi="Calibri" w:cs="Arial"/>
          <w:color w:val="595959"/>
          <w:lang w:bidi="he-IL"/>
        </w:rPr>
        <w:t>επιτοκιακός</w:t>
      </w:r>
      <w:proofErr w:type="spellEnd"/>
      <w:r w:rsidRPr="00D56430">
        <w:rPr>
          <w:rFonts w:ascii="Calibri" w:eastAsia="Calibri" w:hAnsi="Calibri" w:cs="Arial"/>
          <w:color w:val="595959"/>
          <w:lang w:bidi="he-IL"/>
        </w:rPr>
        <w:t xml:space="preserve"> και συναλλαγματικός κίνδυνος</w:t>
      </w:r>
      <w:r w:rsidR="00B67FD1">
        <w:rPr>
          <w:rFonts w:ascii="Calibri" w:eastAsia="Calibri" w:hAnsi="Calibri" w:cs="Arial"/>
          <w:color w:val="595959"/>
          <w:lang w:bidi="he-IL"/>
        </w:rPr>
        <w:t xml:space="preserve"> </w:t>
      </w:r>
      <w:proofErr w:type="spellStart"/>
      <w:r w:rsidRPr="00D56430">
        <w:rPr>
          <w:rFonts w:ascii="Calibri" w:eastAsia="Calibri" w:hAnsi="Calibri" w:cs="Arial"/>
          <w:color w:val="595959"/>
          <w:lang w:bidi="he-IL"/>
        </w:rPr>
        <w:t>αναχρηματοδότησης</w:t>
      </w:r>
      <w:proofErr w:type="spellEnd"/>
      <w:r w:rsidRPr="00D56430">
        <w:rPr>
          <w:rFonts w:ascii="Calibri" w:eastAsia="Calibri" w:hAnsi="Calibri" w:cs="Arial"/>
          <w:color w:val="595959"/>
          <w:lang w:bidi="he-IL"/>
        </w:rPr>
        <w:t xml:space="preserve"> για τα επόμενα δύο έτη, ενώ βελτιώνονται οι βασικοί δείκτες βιωσιμότητας του δημοσίου χρέους, όπως ο δείκτης ετήσιων μεικτών χρηματοδοτικών αναγκών ως ποσοστό του ΑΕΠ.</w:t>
      </w:r>
    </w:p>
    <w:p w14:paraId="7843C68B" w14:textId="77777777" w:rsidR="00964CC6" w:rsidRPr="00575A7E" w:rsidRDefault="00964CC6" w:rsidP="003B1BE9">
      <w:pPr>
        <w:pStyle w:val="3"/>
        <w:spacing w:before="0" w:line="276" w:lineRule="auto"/>
        <w:jc w:val="both"/>
        <w:rPr>
          <w:rFonts w:eastAsia="Times New Roman"/>
        </w:rPr>
      </w:pPr>
      <w:bookmarkStart w:id="121" w:name="_Toc67401920"/>
      <w:r w:rsidRPr="00575A7E">
        <w:rPr>
          <w:rFonts w:eastAsia="Times New Roman"/>
        </w:rPr>
        <w:lastRenderedPageBreak/>
        <w:t>Η έκδοση των εντόκων γραμματίων 52 εβδομάδων</w:t>
      </w:r>
      <w:bookmarkEnd w:id="121"/>
    </w:p>
    <w:p w14:paraId="5B24C7B8" w14:textId="77777777" w:rsidR="00964CC6" w:rsidRPr="00575A7E" w:rsidRDefault="00964CC6" w:rsidP="003B1BE9">
      <w:pPr>
        <w:spacing w:after="0" w:line="276" w:lineRule="auto"/>
        <w:rPr>
          <w:rFonts w:ascii="Calibri" w:eastAsia="Calibri" w:hAnsi="Calibri" w:cs="Times New Roman"/>
        </w:rPr>
      </w:pPr>
    </w:p>
    <w:p w14:paraId="2D0EB630" w14:textId="77777777" w:rsidR="003972EE" w:rsidRPr="00575A7E" w:rsidRDefault="00964CC6" w:rsidP="003B1BE9">
      <w:pPr>
        <w:spacing w:after="0" w:line="276" w:lineRule="auto"/>
        <w:jc w:val="both"/>
        <w:rPr>
          <w:color w:val="595959"/>
        </w:rPr>
      </w:pPr>
      <w:r w:rsidRPr="00575A7E">
        <w:rPr>
          <w:rFonts w:ascii="Calibri" w:eastAsia="Calibri" w:hAnsi="Calibri" w:cs="Times New Roman"/>
          <w:color w:val="595959"/>
        </w:rPr>
        <w:t xml:space="preserve">Στις 10 Μαρτίου 2021 διενεργήθηκε </w:t>
      </w:r>
      <w:hyperlink r:id="rId78" w:history="1">
        <w:r w:rsidRPr="00575A7E">
          <w:rPr>
            <w:rStyle w:val="-"/>
            <w:rFonts w:ascii="Calibri" w:eastAsia="Calibri" w:hAnsi="Calibri" w:cs="Times New Roman"/>
            <w:color w:val="595959"/>
          </w:rPr>
          <w:t>δημοπρασία εντόκων γραμματίων 52 εβδομάδων</w:t>
        </w:r>
      </w:hyperlink>
      <w:r w:rsidRPr="00575A7E">
        <w:rPr>
          <w:rFonts w:ascii="Calibri" w:eastAsia="Calibri" w:hAnsi="Calibri" w:cs="Times New Roman"/>
          <w:color w:val="595959"/>
        </w:rPr>
        <w:t xml:space="preserve"> ύψους 625 εκατ. ευρώ. Η απόδοση διαμορφώθηκε στο -0,22%, ελαφρώς αυξημένη από την έκδοση της 9</w:t>
      </w:r>
      <w:r w:rsidRPr="00575A7E">
        <w:rPr>
          <w:rFonts w:ascii="Calibri" w:eastAsia="Calibri" w:hAnsi="Calibri" w:cs="Times New Roman"/>
          <w:color w:val="595959"/>
          <w:vertAlign w:val="superscript"/>
        </w:rPr>
        <w:t>ης</w:t>
      </w:r>
      <w:r w:rsidRPr="00575A7E">
        <w:rPr>
          <w:rFonts w:ascii="Calibri" w:eastAsia="Calibri" w:hAnsi="Calibri" w:cs="Times New Roman"/>
          <w:color w:val="595959"/>
        </w:rPr>
        <w:t xml:space="preserve"> Δεκεμβρίου 2020 (απόδοση -0,26%). </w:t>
      </w:r>
      <w:r w:rsidRPr="00575A7E">
        <w:rPr>
          <w:rFonts w:ascii="Calibri" w:eastAsia="Calibri" w:hAnsi="Calibri" w:cs="Calibri"/>
          <w:color w:val="595959"/>
        </w:rPr>
        <w:t>Συνολικά υποβλήθηκαν προ</w:t>
      </w:r>
      <w:r w:rsidRPr="00575A7E">
        <w:rPr>
          <w:rFonts w:ascii="Calibri" w:eastAsia="Calibri" w:hAnsi="Calibri" w:cs="Calibri"/>
          <w:color w:val="595959"/>
        </w:rPr>
        <w:softHyphen/>
      </w:r>
      <w:r w:rsidRPr="00575A7E">
        <w:rPr>
          <w:rFonts w:ascii="Calibri" w:eastAsia="Calibri" w:hAnsi="Calibri" w:cs="Calibri"/>
          <w:color w:val="595959"/>
        </w:rPr>
        <w:softHyphen/>
      </w:r>
      <w:r w:rsidRPr="00575A7E">
        <w:rPr>
          <w:rFonts w:ascii="Calibri" w:eastAsia="Calibri" w:hAnsi="Calibri" w:cs="Calibri"/>
          <w:color w:val="595959"/>
        </w:rPr>
        <w:softHyphen/>
        <w:t>σφο</w:t>
      </w:r>
      <w:r w:rsidRPr="00575A7E">
        <w:rPr>
          <w:rFonts w:ascii="Calibri" w:eastAsia="Calibri" w:hAnsi="Calibri" w:cs="Calibri"/>
          <w:color w:val="595959"/>
        </w:rPr>
        <w:softHyphen/>
        <w:t>ρές ύψους 1.167 εκατ. ευρώ, που υπερκά</w:t>
      </w:r>
      <w:r w:rsidRPr="00575A7E">
        <w:rPr>
          <w:rFonts w:ascii="Calibri" w:eastAsia="Calibri" w:hAnsi="Calibri" w:cs="Calibri"/>
          <w:color w:val="595959"/>
        </w:rPr>
        <w:softHyphen/>
        <w:t>λυψαν το ζητούμενο ποσό κατά 1,87 φορές.</w:t>
      </w:r>
      <w:r w:rsidRPr="00575A7E">
        <w:rPr>
          <w:rFonts w:ascii="Calibri" w:eastAsia="Calibri" w:hAnsi="Calibri" w:cs="Times New Roman"/>
          <w:color w:val="595959"/>
        </w:rPr>
        <w:t xml:space="preserve"> Πραγματοποιηθήκαν μη ανταγωνιστικές προσφορές ύψους 187,5 εκατ. ευρώ και μετά την υποβολή </w:t>
      </w:r>
      <w:hyperlink r:id="rId79" w:history="1">
        <w:r w:rsidRPr="00575A7E">
          <w:rPr>
            <w:rStyle w:val="-"/>
            <w:rFonts w:ascii="Calibri" w:eastAsia="Calibri" w:hAnsi="Calibri" w:cs="Times New Roman"/>
            <w:color w:val="595959"/>
          </w:rPr>
          <w:t>των συμπληρωματικών μη-ανταγωνιστικών προσφορών</w:t>
        </w:r>
      </w:hyperlink>
      <w:r w:rsidRPr="00575A7E">
        <w:rPr>
          <w:rFonts w:ascii="Calibri" w:eastAsia="Calibri" w:hAnsi="Calibri" w:cs="Times New Roman"/>
          <w:color w:val="595959"/>
        </w:rPr>
        <w:t xml:space="preserve"> (30% επί του δημοπρατούμενου ποσού), στη δημοπρασία των Εντόκων Γραμματίων 52 εβδομάδων του Ελληνικού Δημοσίου της 10/3/2021 έγιναν δεκτές προσφορές ονομαστικής αξίας 187,5 εκατομμυρίων ευρώ.</w:t>
      </w:r>
    </w:p>
    <w:p w14:paraId="287008D6" w14:textId="77777777" w:rsidR="00964CC6" w:rsidRPr="00575A7E" w:rsidRDefault="00964CC6" w:rsidP="003B1BE9">
      <w:pPr>
        <w:spacing w:after="0" w:line="276" w:lineRule="auto"/>
        <w:jc w:val="both"/>
        <w:rPr>
          <w:color w:val="595959"/>
        </w:rPr>
      </w:pPr>
    </w:p>
    <w:p w14:paraId="6D0FB276" w14:textId="77777777" w:rsidR="003972EE" w:rsidRPr="00575A7E" w:rsidRDefault="003972EE" w:rsidP="003B1BE9">
      <w:pPr>
        <w:pStyle w:val="3"/>
        <w:spacing w:before="0" w:line="276" w:lineRule="auto"/>
        <w:jc w:val="both"/>
        <w:rPr>
          <w:rFonts w:ascii="Calibri" w:eastAsia="Calibri" w:hAnsi="Calibri" w:cs="Times New Roman"/>
          <w:color w:val="4472C4"/>
        </w:rPr>
      </w:pPr>
      <w:bookmarkStart w:id="122" w:name="_Toc50131961"/>
      <w:bookmarkStart w:id="123" w:name="_Toc67401921"/>
      <w:r w:rsidRPr="00575A7E">
        <w:rPr>
          <w:rFonts w:eastAsia="Times New Roman"/>
        </w:rPr>
        <w:t>Η έκδοση των εντόκων γραμματίων 26 εβδομάδων</w:t>
      </w:r>
      <w:bookmarkEnd w:id="122"/>
      <w:bookmarkEnd w:id="123"/>
    </w:p>
    <w:p w14:paraId="0E3E45F7" w14:textId="77777777" w:rsidR="003972EE" w:rsidRPr="00575A7E" w:rsidRDefault="003972EE" w:rsidP="003B1BE9">
      <w:pPr>
        <w:spacing w:after="200" w:line="276" w:lineRule="auto"/>
        <w:contextualSpacing/>
        <w:jc w:val="both"/>
        <w:rPr>
          <w:rFonts w:ascii="Calibri" w:eastAsia="Calibri" w:hAnsi="Calibri" w:cs="Times New Roman"/>
          <w:color w:val="595959"/>
        </w:rPr>
      </w:pPr>
    </w:p>
    <w:p w14:paraId="060EDA31" w14:textId="77777777" w:rsidR="003972EE" w:rsidRPr="00575A7E" w:rsidRDefault="003972EE" w:rsidP="003B1BE9">
      <w:pPr>
        <w:spacing w:after="200" w:line="276" w:lineRule="auto"/>
        <w:contextualSpacing/>
        <w:jc w:val="both"/>
        <w:rPr>
          <w:rFonts w:ascii="Calibri" w:eastAsia="Calibri" w:hAnsi="Calibri" w:cs="Times New Roman"/>
          <w:color w:val="595959"/>
        </w:rPr>
      </w:pPr>
      <w:r w:rsidRPr="00575A7E">
        <w:rPr>
          <w:rFonts w:ascii="Calibri" w:eastAsia="Calibri" w:hAnsi="Calibri" w:cs="Times New Roman"/>
          <w:color w:val="595959"/>
        </w:rPr>
        <w:t xml:space="preserve">Στις 24 Φεβρουαρίου 2021 διενεργήθηκε </w:t>
      </w:r>
      <w:hyperlink r:id="rId80" w:history="1">
        <w:r w:rsidRPr="00575A7E">
          <w:rPr>
            <w:rStyle w:val="-"/>
            <w:rFonts w:ascii="Calibri" w:eastAsia="Calibri" w:hAnsi="Calibri" w:cs="Times New Roman"/>
            <w:color w:val="595959"/>
          </w:rPr>
          <w:t>δημοπρασία εντόκων γραμματίων 26 εβδομάδων</w:t>
        </w:r>
      </w:hyperlink>
      <w:r w:rsidRPr="00575A7E">
        <w:rPr>
          <w:rFonts w:ascii="Calibri" w:eastAsia="Calibri" w:hAnsi="Calibri" w:cs="Times New Roman"/>
          <w:color w:val="595959"/>
        </w:rPr>
        <w:t xml:space="preserve"> ύψους 625 εκατ. ευρώ. Η απόδοση διαμορφώθηκε στο -0,28%, αμετάβλητη από τη δημοπρασία της 27</w:t>
      </w:r>
      <w:r w:rsidRPr="00575A7E">
        <w:rPr>
          <w:rFonts w:ascii="Calibri" w:eastAsia="Calibri" w:hAnsi="Calibri" w:cs="Times New Roman"/>
          <w:color w:val="595959"/>
          <w:vertAlign w:val="superscript"/>
        </w:rPr>
        <w:t>ης</w:t>
      </w:r>
      <w:r w:rsidRPr="00575A7E">
        <w:rPr>
          <w:rFonts w:ascii="Calibri" w:eastAsia="Calibri" w:hAnsi="Calibri" w:cs="Times New Roman"/>
          <w:color w:val="595959"/>
        </w:rPr>
        <w:t xml:space="preserve"> Ιανουαρίου 2021. </w:t>
      </w:r>
      <w:r w:rsidRPr="00575A7E">
        <w:rPr>
          <w:rFonts w:cstheme="minorHAnsi"/>
          <w:color w:val="595959"/>
        </w:rPr>
        <w:t>Συνολικά υποβλήθηκαν προ</w:t>
      </w:r>
      <w:r w:rsidRPr="00575A7E">
        <w:rPr>
          <w:rFonts w:cstheme="minorHAnsi"/>
          <w:color w:val="595959"/>
        </w:rPr>
        <w:softHyphen/>
      </w:r>
      <w:r w:rsidRPr="00575A7E">
        <w:rPr>
          <w:rFonts w:cstheme="minorHAnsi"/>
          <w:color w:val="595959"/>
        </w:rPr>
        <w:softHyphen/>
      </w:r>
      <w:r w:rsidRPr="00575A7E">
        <w:rPr>
          <w:rFonts w:cstheme="minorHAnsi"/>
          <w:color w:val="595959"/>
        </w:rPr>
        <w:softHyphen/>
        <w:t>σφο</w:t>
      </w:r>
      <w:r w:rsidRPr="00575A7E">
        <w:rPr>
          <w:rFonts w:cstheme="minorHAnsi"/>
          <w:color w:val="595959"/>
        </w:rPr>
        <w:softHyphen/>
        <w:t>ρές ύψους 1.520 εκατ. ευρώ, που υπερκά</w:t>
      </w:r>
      <w:r w:rsidRPr="00575A7E">
        <w:rPr>
          <w:rFonts w:cstheme="minorHAnsi"/>
          <w:color w:val="595959"/>
        </w:rPr>
        <w:softHyphen/>
        <w:t>λυψαν το ζητούμενο ποσό κατά 2,43 φορές.</w:t>
      </w:r>
      <w:r w:rsidRPr="00575A7E">
        <w:rPr>
          <w:rFonts w:ascii="Calibri" w:eastAsia="Calibri" w:hAnsi="Calibri" w:cs="Times New Roman"/>
          <w:color w:val="595959"/>
        </w:rPr>
        <w:t xml:space="preserve"> Πραγματοποιηθήκαν μη ανταγωνιστικές προσφορές ύψους 187,5 εκατ. ευρώ και μετά την υποβολή των </w:t>
      </w:r>
      <w:hyperlink r:id="rId81" w:history="1">
        <w:r w:rsidRPr="00575A7E">
          <w:rPr>
            <w:rStyle w:val="-"/>
            <w:rFonts w:ascii="Calibri" w:eastAsia="Calibri" w:hAnsi="Calibri" w:cs="Times New Roman"/>
            <w:color w:val="595959"/>
          </w:rPr>
          <w:t>συμπληρωματικών μη-ανταγωνιστικών προσφορών</w:t>
        </w:r>
      </w:hyperlink>
      <w:r w:rsidRPr="00575A7E">
        <w:rPr>
          <w:rFonts w:ascii="Calibri" w:eastAsia="Calibri" w:hAnsi="Calibri" w:cs="Times New Roman"/>
          <w:color w:val="595959"/>
        </w:rPr>
        <w:t xml:space="preserve"> (30% επί του δημοπρατούμενου ποσού) στη δημοπρασία των Εντόκων Γραμματίων 26 εβδομάδων του Ελληνικού Δημοσίου της 24/2/2021, έγιναν δεκτές προσφορές ονομαστικής αξίας 187,5 εκατομμυρίων ευρώ.</w:t>
      </w:r>
    </w:p>
    <w:p w14:paraId="02D54BE4" w14:textId="77777777" w:rsidR="003972EE" w:rsidRPr="00575A7E" w:rsidRDefault="003972EE" w:rsidP="003B1BE9">
      <w:pPr>
        <w:spacing w:after="0" w:line="276" w:lineRule="auto"/>
        <w:jc w:val="both"/>
        <w:rPr>
          <w:rFonts w:ascii="Calibri" w:eastAsia="Calibri" w:hAnsi="Calibri" w:cs="Times New Roman"/>
          <w:color w:val="595959"/>
        </w:rPr>
      </w:pPr>
    </w:p>
    <w:p w14:paraId="4BCD253F" w14:textId="77777777" w:rsidR="003972EE" w:rsidRPr="00575A7E" w:rsidRDefault="003972EE" w:rsidP="003B1BE9">
      <w:pPr>
        <w:pStyle w:val="3"/>
        <w:spacing w:before="0" w:line="276" w:lineRule="auto"/>
        <w:jc w:val="both"/>
        <w:rPr>
          <w:rFonts w:eastAsia="Times New Roman"/>
        </w:rPr>
      </w:pPr>
      <w:bookmarkStart w:id="124" w:name="_Toc67401922"/>
      <w:r w:rsidRPr="00575A7E">
        <w:rPr>
          <w:rFonts w:eastAsia="Times New Roman"/>
        </w:rPr>
        <w:t xml:space="preserve">Η έκδοση των εντόκων γραμματίων </w:t>
      </w:r>
      <w:r w:rsidRPr="00575A7E">
        <w:rPr>
          <w:rFonts w:eastAsia="Times New Roman"/>
          <w:color w:val="4472C4"/>
        </w:rPr>
        <w:t>13</w:t>
      </w:r>
      <w:r w:rsidRPr="00575A7E">
        <w:rPr>
          <w:rFonts w:eastAsia="Times New Roman"/>
        </w:rPr>
        <w:t xml:space="preserve"> εβδομάδων</w:t>
      </w:r>
      <w:bookmarkEnd w:id="124"/>
    </w:p>
    <w:p w14:paraId="181ABD4E" w14:textId="77777777" w:rsidR="003972EE" w:rsidRPr="00575A7E" w:rsidRDefault="003972EE" w:rsidP="003B1BE9">
      <w:pPr>
        <w:spacing w:after="0" w:line="276" w:lineRule="auto"/>
        <w:jc w:val="both"/>
        <w:rPr>
          <w:color w:val="595959"/>
        </w:rPr>
      </w:pPr>
    </w:p>
    <w:p w14:paraId="54DD1487" w14:textId="77777777" w:rsidR="00964CC6" w:rsidRPr="00575A7E" w:rsidRDefault="003972EE" w:rsidP="003B1BE9">
      <w:pPr>
        <w:spacing w:after="0" w:line="276" w:lineRule="auto"/>
        <w:jc w:val="both"/>
        <w:rPr>
          <w:rFonts w:ascii="Calibri" w:eastAsia="Calibri" w:hAnsi="Calibri" w:cs="Times New Roman"/>
          <w:color w:val="595959"/>
        </w:rPr>
      </w:pPr>
      <w:r w:rsidRPr="00575A7E">
        <w:rPr>
          <w:rFonts w:ascii="Calibri" w:eastAsia="Calibri" w:hAnsi="Calibri" w:cs="Times New Roman"/>
          <w:color w:val="595959"/>
        </w:rPr>
        <w:t xml:space="preserve">Ενθαρρυντικό ήταν το αποτέλεσμα της </w:t>
      </w:r>
      <w:hyperlink r:id="rId82" w:history="1">
        <w:r w:rsidRPr="00575A7E">
          <w:rPr>
            <w:rStyle w:val="-"/>
            <w:rFonts w:ascii="Calibri" w:eastAsia="Calibri" w:hAnsi="Calibri" w:cs="Times New Roman"/>
            <w:color w:val="595959"/>
          </w:rPr>
          <w:t>δημοπρασίας των εντόκων γραμματίων 13 εβδομάδων</w:t>
        </w:r>
      </w:hyperlink>
      <w:r w:rsidRPr="00575A7E">
        <w:rPr>
          <w:rFonts w:ascii="Calibri" w:eastAsia="Calibri" w:hAnsi="Calibri" w:cs="Times New Roman"/>
          <w:color w:val="595959"/>
        </w:rPr>
        <w:t xml:space="preserve">, που διενεργήθηκε στις 3 </w:t>
      </w:r>
      <w:bookmarkStart w:id="125" w:name="_Hlk65797202"/>
      <w:r w:rsidRPr="00575A7E">
        <w:rPr>
          <w:rFonts w:ascii="Calibri" w:eastAsia="Calibri" w:hAnsi="Calibri" w:cs="Times New Roman"/>
          <w:color w:val="595959"/>
        </w:rPr>
        <w:t>Φεβρουαρίου 2021</w:t>
      </w:r>
      <w:bookmarkEnd w:id="125"/>
      <w:r w:rsidRPr="00575A7E">
        <w:rPr>
          <w:rFonts w:cstheme="minorHAnsi"/>
          <w:color w:val="595959"/>
        </w:rPr>
        <w:t>, ύψους 625 εκατ. ευρώ. Η απόδοση διαμο</w:t>
      </w:r>
      <w:r w:rsidRPr="00575A7E">
        <w:rPr>
          <w:rFonts w:cstheme="minorHAnsi"/>
          <w:color w:val="595959"/>
        </w:rPr>
        <w:softHyphen/>
        <w:t>ρφώ</w:t>
      </w:r>
      <w:r w:rsidRPr="00575A7E">
        <w:rPr>
          <w:rFonts w:cstheme="minorHAnsi"/>
          <w:color w:val="595959"/>
        </w:rPr>
        <w:softHyphen/>
        <w:t>θηκε στο -0,32% αμετάβλητη από τη δημοπρασία της 5</w:t>
      </w:r>
      <w:r w:rsidRPr="00575A7E">
        <w:rPr>
          <w:rFonts w:cstheme="minorHAnsi"/>
          <w:color w:val="595959"/>
          <w:vertAlign w:val="superscript"/>
        </w:rPr>
        <w:t>ης</w:t>
      </w:r>
      <w:r w:rsidRPr="00575A7E">
        <w:rPr>
          <w:rFonts w:cstheme="minorHAnsi"/>
          <w:color w:val="595959"/>
        </w:rPr>
        <w:t xml:space="preserve"> Ιανουαρίου 2021. Συνολικά υποβλήθηκαν προ</w:t>
      </w:r>
      <w:r w:rsidRPr="00575A7E">
        <w:rPr>
          <w:rFonts w:cstheme="minorHAnsi"/>
          <w:color w:val="595959"/>
        </w:rPr>
        <w:softHyphen/>
      </w:r>
      <w:r w:rsidRPr="00575A7E">
        <w:rPr>
          <w:rFonts w:cstheme="minorHAnsi"/>
          <w:color w:val="595959"/>
        </w:rPr>
        <w:softHyphen/>
      </w:r>
      <w:r w:rsidRPr="00575A7E">
        <w:rPr>
          <w:rFonts w:cstheme="minorHAnsi"/>
          <w:color w:val="595959"/>
        </w:rPr>
        <w:softHyphen/>
        <w:t>σφο</w:t>
      </w:r>
      <w:r w:rsidRPr="00575A7E">
        <w:rPr>
          <w:rFonts w:cstheme="minorHAnsi"/>
          <w:color w:val="595959"/>
        </w:rPr>
        <w:softHyphen/>
        <w:t>ρές ύψους 1.071 εκατ. ευρώ, που υπερκά</w:t>
      </w:r>
      <w:r w:rsidRPr="00575A7E">
        <w:rPr>
          <w:rFonts w:cstheme="minorHAnsi"/>
          <w:color w:val="595959"/>
        </w:rPr>
        <w:softHyphen/>
        <w:t>λυψαν το ζητούμενο ποσό κατά 1,71 φορές</w:t>
      </w:r>
      <w:r w:rsidRPr="00575A7E">
        <w:rPr>
          <w:rFonts w:ascii="Calibri" w:eastAsia="Calibri" w:hAnsi="Calibri" w:cs="Times New Roman"/>
          <w:color w:val="595959"/>
        </w:rPr>
        <w:t xml:space="preserve"> και μη ανταγωνιστικές προσφορές ύψους 187,5 εκατομμυρίων ευρώ. </w:t>
      </w:r>
      <w:r w:rsidRPr="00575A7E">
        <w:rPr>
          <w:color w:val="595959"/>
        </w:rPr>
        <w:t xml:space="preserve">Μετά την υποβολή </w:t>
      </w:r>
      <w:hyperlink r:id="rId83" w:history="1">
        <w:r w:rsidRPr="00575A7E">
          <w:rPr>
            <w:rStyle w:val="-"/>
            <w:color w:val="595959"/>
          </w:rPr>
          <w:t>των συμπληρωματικών μη-ανταγωνιστικών</w:t>
        </w:r>
      </w:hyperlink>
      <w:r w:rsidRPr="00575A7E">
        <w:rPr>
          <w:color w:val="595959"/>
        </w:rPr>
        <w:t xml:space="preserve"> προσφορών στη δημοπρασία των Εντόκων Γραμματίων 13 εβδομάδων του Ελληνικού Δημοσίου της 3</w:t>
      </w:r>
      <w:r w:rsidRPr="00575A7E">
        <w:rPr>
          <w:color w:val="595959"/>
          <w:vertAlign w:val="superscript"/>
        </w:rPr>
        <w:t>ης</w:t>
      </w:r>
      <w:r w:rsidRPr="00575A7E">
        <w:rPr>
          <w:color w:val="595959"/>
        </w:rPr>
        <w:t> Φεβρουαρίου 2021, έγιναν δεκτές προσφορές ονομαστικής αξίας 187,5 εκατ. ευρώ</w:t>
      </w:r>
      <w:r w:rsidRPr="00575A7E">
        <w:rPr>
          <w:rFonts w:ascii="Calibri" w:eastAsia="Calibri" w:hAnsi="Calibri" w:cs="Times New Roman"/>
          <w:color w:val="595959"/>
        </w:rPr>
        <w:t>.</w:t>
      </w:r>
    </w:p>
    <w:p w14:paraId="40696BEA" w14:textId="77777777" w:rsidR="00964CC6" w:rsidRPr="00575A7E" w:rsidRDefault="00964CC6" w:rsidP="003B1BE9">
      <w:pPr>
        <w:spacing w:after="0" w:line="276" w:lineRule="auto"/>
        <w:jc w:val="both"/>
        <w:rPr>
          <w:rFonts w:ascii="Calibri" w:eastAsia="Calibri" w:hAnsi="Calibri" w:cs="Times New Roman"/>
          <w:color w:val="595959"/>
        </w:rPr>
      </w:pPr>
    </w:p>
    <w:p w14:paraId="275DC6ED" w14:textId="358A1BF7" w:rsidR="009639DE" w:rsidRPr="00575A7E" w:rsidRDefault="009639DE" w:rsidP="003B1BE9">
      <w:pPr>
        <w:spacing w:line="276" w:lineRule="auto"/>
        <w:jc w:val="both"/>
        <w:rPr>
          <w:color w:val="595959"/>
        </w:rPr>
      </w:pPr>
      <w:r w:rsidRPr="00575A7E">
        <w:rPr>
          <w:color w:val="595959"/>
        </w:rPr>
        <w:t xml:space="preserve">Σύμφωνα με την </w:t>
      </w:r>
      <w:hyperlink r:id="rId84" w:history="1">
        <w:r w:rsidRPr="00575A7E">
          <w:rPr>
            <w:rStyle w:val="-"/>
            <w:color w:val="595959"/>
          </w:rPr>
          <w:t xml:space="preserve">έκθεση </w:t>
        </w:r>
        <w:r w:rsidR="002A5D86">
          <w:rPr>
            <w:rStyle w:val="-"/>
            <w:color w:val="595959"/>
          </w:rPr>
          <w:t>Παρακολούθησης της Βιωσιμότητας</w:t>
        </w:r>
        <w:r w:rsidRPr="00575A7E">
          <w:rPr>
            <w:rStyle w:val="-"/>
            <w:color w:val="595959"/>
          </w:rPr>
          <w:t xml:space="preserve"> του Χρέους</w:t>
        </w:r>
      </w:hyperlink>
      <w:r w:rsidRPr="00575A7E">
        <w:rPr>
          <w:color w:val="595959"/>
        </w:rPr>
        <w:t xml:space="preserve"> (</w:t>
      </w:r>
      <w:r w:rsidRPr="00575A7E">
        <w:rPr>
          <w:color w:val="595959"/>
          <w:lang w:val="en-US"/>
        </w:rPr>
        <w:t>Debt</w:t>
      </w:r>
      <w:r w:rsidRPr="00575A7E">
        <w:rPr>
          <w:color w:val="595959"/>
        </w:rPr>
        <w:t xml:space="preserve"> </w:t>
      </w:r>
      <w:r w:rsidRPr="00575A7E">
        <w:rPr>
          <w:color w:val="595959"/>
          <w:lang w:val="en-US"/>
        </w:rPr>
        <w:t>Sustainability</w:t>
      </w:r>
      <w:r w:rsidRPr="00575A7E">
        <w:rPr>
          <w:color w:val="595959"/>
        </w:rPr>
        <w:t xml:space="preserve"> </w:t>
      </w:r>
      <w:r w:rsidRPr="00575A7E">
        <w:rPr>
          <w:color w:val="595959"/>
          <w:lang w:val="en-US"/>
        </w:rPr>
        <w:t>Monitor</w:t>
      </w:r>
      <w:r w:rsidRPr="00575A7E">
        <w:rPr>
          <w:color w:val="595959"/>
        </w:rPr>
        <w:t xml:space="preserve">) του Φεβρουάριου 2021, η </w:t>
      </w:r>
      <w:r w:rsidR="00C662C1">
        <w:rPr>
          <w:color w:val="595959"/>
        </w:rPr>
        <w:t xml:space="preserve">αναθεωρημένη </w:t>
      </w:r>
      <w:r w:rsidRPr="00575A7E">
        <w:rPr>
          <w:color w:val="595959"/>
        </w:rPr>
        <w:t xml:space="preserve">ανάλυση βιωσιμότητας του χρέους </w:t>
      </w:r>
      <w:r w:rsidR="00C662C1">
        <w:rPr>
          <w:color w:val="595959"/>
        </w:rPr>
        <w:t>για το</w:t>
      </w:r>
      <w:r w:rsidRPr="00575A7E">
        <w:rPr>
          <w:color w:val="595959"/>
        </w:rPr>
        <w:t xml:space="preserve"> 2020 δείχνει ότι η κρίση του COVID-19 </w:t>
      </w:r>
      <w:r w:rsidR="00C662C1">
        <w:rPr>
          <w:color w:val="595959"/>
        </w:rPr>
        <w:t>επιδείνωσε τη μεσοπρόθεσμη εικόνα</w:t>
      </w:r>
      <w:r w:rsidRPr="00575A7E">
        <w:rPr>
          <w:color w:val="595959"/>
        </w:rPr>
        <w:t xml:space="preserve"> σε σχέση με την προηγούμενη </w:t>
      </w:r>
      <w:r w:rsidR="00C662C1">
        <w:rPr>
          <w:color w:val="595959"/>
        </w:rPr>
        <w:t xml:space="preserve">ανάλυση </w:t>
      </w:r>
      <w:r w:rsidRPr="00575A7E">
        <w:rPr>
          <w:color w:val="595959"/>
        </w:rPr>
        <w:t xml:space="preserve">(2019). Η πανδημία αναμένεται να έχει σημαντικό αντίκτυπο στο χρέος της </w:t>
      </w:r>
      <w:r w:rsidR="00C662C1">
        <w:rPr>
          <w:color w:val="595959"/>
        </w:rPr>
        <w:t>Γενικής Κ</w:t>
      </w:r>
      <w:r w:rsidRPr="00575A7E">
        <w:rPr>
          <w:color w:val="595959"/>
        </w:rPr>
        <w:t xml:space="preserve">υβέρνησης, το οποίο προβλέπεται να αυξηθεί από 180,5% του ΑΕΠ το 2019 σε πάνω από 207% του ΑΕΠ το 2020. Ωστόσο, καθώς τα έκτακτα μέτρα που σχετίζονται με την πανδημία αναμένεται να είναι προσωρινά και η οικονομία αναμένεται να αρχίσει να ανακάμπτει το 2021, ο λόγος του δημόσιου χρέους προς το ΑΕΠ αναμένεται να ακολουθήσει μια πτωτική τάση από το 2021. </w:t>
      </w:r>
      <w:r w:rsidR="007F22AF">
        <w:rPr>
          <w:color w:val="595959"/>
        </w:rPr>
        <w:t xml:space="preserve">Παρόλα αυτά, </w:t>
      </w:r>
      <w:r w:rsidRPr="00575A7E">
        <w:rPr>
          <w:color w:val="595959"/>
        </w:rPr>
        <w:t xml:space="preserve">θα παραμείνει σε υψηλά επίπεδα, πάνω από το 120% του ΑΕΠ έως το 2040, </w:t>
      </w:r>
      <w:r w:rsidR="00C662C1">
        <w:rPr>
          <w:color w:val="595959"/>
        </w:rPr>
        <w:t>κάτι που</w:t>
      </w:r>
      <w:r w:rsidRPr="00575A7E">
        <w:rPr>
          <w:color w:val="595959"/>
        </w:rPr>
        <w:t xml:space="preserve"> αντανακλά την επιδείνωση των βραχυπρόθεσμων </w:t>
      </w:r>
      <w:r w:rsidRPr="00575A7E">
        <w:rPr>
          <w:color w:val="595959"/>
        </w:rPr>
        <w:lastRenderedPageBreak/>
        <w:t xml:space="preserve">και μεσοπρόθεσμων προοπτικών σε σύγκριση με την προηγούμενη </w:t>
      </w:r>
      <w:r w:rsidR="00C662C1">
        <w:rPr>
          <w:color w:val="595959"/>
        </w:rPr>
        <w:t>ανάλυση</w:t>
      </w:r>
      <w:r w:rsidRPr="00575A7E">
        <w:rPr>
          <w:color w:val="595959"/>
        </w:rPr>
        <w:t xml:space="preserve">, όπου ο λόγος χρέους αναμενόταν να κυμανθεί λίγο πάνω από το 100% εκείνη τη περίοδο. Μέχρι το 2060, ο </w:t>
      </w:r>
      <w:r w:rsidR="00C662C1">
        <w:rPr>
          <w:color w:val="595959"/>
        </w:rPr>
        <w:t>λόγος</w:t>
      </w:r>
      <w:r w:rsidRPr="00575A7E">
        <w:rPr>
          <w:color w:val="595959"/>
        </w:rPr>
        <w:t xml:space="preserve"> χρέους </w:t>
      </w:r>
      <w:r w:rsidR="00C662C1">
        <w:rPr>
          <w:color w:val="595959"/>
        </w:rPr>
        <w:t xml:space="preserve">προς ΑΕΠ </w:t>
      </w:r>
      <w:r w:rsidRPr="00575A7E">
        <w:rPr>
          <w:color w:val="595959"/>
        </w:rPr>
        <w:t xml:space="preserve">αναμένεται να είναι περίπου </w:t>
      </w:r>
      <w:r w:rsidR="00C662C1">
        <w:rPr>
          <w:color w:val="595959"/>
        </w:rPr>
        <w:t>ίδιος</w:t>
      </w:r>
      <w:r w:rsidRPr="00575A7E">
        <w:rPr>
          <w:color w:val="595959"/>
        </w:rPr>
        <w:t xml:space="preserve"> </w:t>
      </w:r>
      <w:r w:rsidR="00C662C1">
        <w:rPr>
          <w:color w:val="595959"/>
        </w:rPr>
        <w:t>και στις δύο αναλ</w:t>
      </w:r>
      <w:r w:rsidR="00F50195">
        <w:rPr>
          <w:color w:val="595959"/>
        </w:rPr>
        <w:t>ύσεις</w:t>
      </w:r>
      <w:r w:rsidRPr="00575A7E">
        <w:rPr>
          <w:color w:val="595959"/>
        </w:rPr>
        <w:t xml:space="preserve">. Οι ακαθάριστες χρηματοδοτικές ανάγκες </w:t>
      </w:r>
      <w:r w:rsidR="00C662C1">
        <w:rPr>
          <w:color w:val="595959"/>
        </w:rPr>
        <w:t>προβλέπεται</w:t>
      </w:r>
      <w:r w:rsidRPr="00575A7E">
        <w:rPr>
          <w:color w:val="595959"/>
        </w:rPr>
        <w:t xml:space="preserve"> να κυμανθούν πάνω από το 15% του ΑΕΠ για τα επόμενα 20 χρόνια, προτού μειωθούν σε περίπου 13% του ΑΕΠ έως το 2060. Αυτό αντικατοπτρίζει πολύ μεγαλύτερες χρηματοδοτικές ανάγκες </w:t>
      </w:r>
      <w:r w:rsidR="00C662C1">
        <w:rPr>
          <w:color w:val="595959"/>
        </w:rPr>
        <w:t>σε σχέση με την</w:t>
      </w:r>
      <w:r w:rsidRPr="00575A7E">
        <w:rPr>
          <w:color w:val="595959"/>
        </w:rPr>
        <w:t xml:space="preserve"> προηγούμενη </w:t>
      </w:r>
      <w:r w:rsidR="00C662C1">
        <w:rPr>
          <w:color w:val="595959"/>
        </w:rPr>
        <w:t>ανάλυση</w:t>
      </w:r>
      <w:r w:rsidRPr="00575A7E">
        <w:rPr>
          <w:color w:val="595959"/>
        </w:rPr>
        <w:t xml:space="preserve">, όπου αναμενόταν να παραμείνουν κάτω από το 10% του ΑΕΠ έως τις αρχές του 2030. Μακροπρόθεσμα, </w:t>
      </w:r>
      <w:r w:rsidR="00C662C1">
        <w:rPr>
          <w:color w:val="595959"/>
        </w:rPr>
        <w:t xml:space="preserve">ωστόσο, </w:t>
      </w:r>
      <w:r w:rsidRPr="00575A7E">
        <w:rPr>
          <w:color w:val="595959"/>
        </w:rPr>
        <w:t xml:space="preserve">οι </w:t>
      </w:r>
      <w:r w:rsidR="00C662C1">
        <w:rPr>
          <w:color w:val="595959"/>
        </w:rPr>
        <w:t>ακαθάριστες χρηματοδοτικές ανάγκες θα εξισωθούν</w:t>
      </w:r>
      <w:r w:rsidRPr="00575A7E">
        <w:rPr>
          <w:color w:val="595959"/>
        </w:rPr>
        <w:t xml:space="preserve"> με την προηγούμενη </w:t>
      </w:r>
      <w:r w:rsidR="00C662C1">
        <w:rPr>
          <w:color w:val="595959"/>
        </w:rPr>
        <w:t>ανάλυση</w:t>
      </w:r>
      <w:r w:rsidRPr="00575A7E">
        <w:rPr>
          <w:color w:val="595959"/>
        </w:rPr>
        <w:t>.</w:t>
      </w:r>
      <w:r w:rsidR="00C662C1">
        <w:rPr>
          <w:color w:val="595959"/>
        </w:rPr>
        <w:t xml:space="preserve"> </w:t>
      </w:r>
      <w:r w:rsidR="007F22AF">
        <w:rPr>
          <w:color w:val="595959"/>
        </w:rPr>
        <w:t>Επισημαίνεται</w:t>
      </w:r>
      <w:r w:rsidR="00C662C1" w:rsidRPr="00C662C1">
        <w:rPr>
          <w:color w:val="595959"/>
        </w:rPr>
        <w:t xml:space="preserve"> ότι στην αναθεωρημένη </w:t>
      </w:r>
      <w:r w:rsidR="00C662C1">
        <w:rPr>
          <w:color w:val="595959"/>
        </w:rPr>
        <w:t>ανάλυση</w:t>
      </w:r>
      <w:r w:rsidR="00C662C1" w:rsidRPr="00C662C1">
        <w:rPr>
          <w:color w:val="595959"/>
        </w:rPr>
        <w:t xml:space="preserve"> έχουν τροποποιηθεί σημαντικά οι υποθέσεις τόσο για τους ρυθμούς μεγέθυνσης όσο και για τα επιτόκια </w:t>
      </w:r>
      <w:proofErr w:type="spellStart"/>
      <w:r w:rsidR="00C662C1" w:rsidRPr="00817D4A">
        <w:rPr>
          <w:color w:val="595959"/>
        </w:rPr>
        <w:t>αναχρηματοδότησης</w:t>
      </w:r>
      <w:proofErr w:type="spellEnd"/>
      <w:r w:rsidR="00C662C1" w:rsidRPr="00C662C1">
        <w:rPr>
          <w:color w:val="595959"/>
        </w:rPr>
        <w:t xml:space="preserve"> του χρέους προς το ευνοϊκότερο. Ειδικότερα, για τη μακροχρόνια περίοδο (2030-2060) ο προβλεπόμενος ρυθμός πραγματικής μεγέθυνσης έχει αυξηθεί κατά 0,5 ποσοστιαίες μονάδες (από 1 σε 1,5%) και το προβλεπόμενο επιτόκιο έχει μειωθεί κατά 0,7 ποσοστιαίες μονάδες (από 4,1</w:t>
      </w:r>
      <w:r w:rsidR="00C662C1" w:rsidRPr="00817D4A">
        <w:rPr>
          <w:color w:val="595959"/>
        </w:rPr>
        <w:t>% σε 3,</w:t>
      </w:r>
      <w:r w:rsidR="00E26013" w:rsidRPr="00817D4A">
        <w:rPr>
          <w:color w:val="595959"/>
        </w:rPr>
        <w:t>4</w:t>
      </w:r>
      <w:r w:rsidR="00C662C1" w:rsidRPr="00817D4A">
        <w:rPr>
          <w:color w:val="595959"/>
        </w:rPr>
        <w:t xml:space="preserve">%). </w:t>
      </w:r>
      <w:r w:rsidR="00C662C1" w:rsidRPr="00C662C1">
        <w:rPr>
          <w:color w:val="595959"/>
        </w:rPr>
        <w:t xml:space="preserve">Και οι δύο παράμετροι είναι ιδιαίτερα </w:t>
      </w:r>
      <w:r w:rsidR="007F22AF">
        <w:rPr>
          <w:color w:val="595959"/>
        </w:rPr>
        <w:t>καθοριστικ</w:t>
      </w:r>
      <w:r w:rsidR="00831969">
        <w:rPr>
          <w:color w:val="595959"/>
        </w:rPr>
        <w:t>ές</w:t>
      </w:r>
      <w:r w:rsidR="007F22AF">
        <w:rPr>
          <w:color w:val="595959"/>
        </w:rPr>
        <w:t xml:space="preserve"> </w:t>
      </w:r>
      <w:r w:rsidR="00C662C1" w:rsidRPr="00C662C1">
        <w:rPr>
          <w:color w:val="595959"/>
        </w:rPr>
        <w:t>για την εξέλιξη του χρέους και των χρηματοδοτικών αναγκών.</w:t>
      </w:r>
    </w:p>
    <w:p w14:paraId="53A5408C" w14:textId="77777777" w:rsidR="009639DE" w:rsidRPr="00575A7E" w:rsidRDefault="009639DE" w:rsidP="003B1BE9">
      <w:pPr>
        <w:spacing w:after="0" w:line="276" w:lineRule="auto"/>
        <w:jc w:val="both"/>
        <w:rPr>
          <w:rFonts w:ascii="Calibri" w:eastAsia="Calibri" w:hAnsi="Calibri" w:cs="Times New Roman"/>
          <w:color w:val="595959"/>
        </w:rPr>
      </w:pPr>
    </w:p>
    <w:p w14:paraId="05AA1B85" w14:textId="77777777" w:rsidR="006B6E23" w:rsidRPr="00575A7E" w:rsidRDefault="006B6E23" w:rsidP="003B1BE9">
      <w:pPr>
        <w:spacing w:after="0" w:line="276" w:lineRule="auto"/>
        <w:jc w:val="both"/>
        <w:rPr>
          <w:rFonts w:ascii="Calibri" w:eastAsia="Calibri" w:hAnsi="Calibri" w:cs="Times New Roman"/>
          <w:color w:val="595959"/>
        </w:rPr>
      </w:pPr>
    </w:p>
    <w:p w14:paraId="69EE7CEE" w14:textId="77777777" w:rsidR="001A034F" w:rsidRPr="00E26013" w:rsidRDefault="001A034F">
      <w:pPr>
        <w:rPr>
          <w:rFonts w:asciiTheme="majorHAnsi" w:eastAsiaTheme="majorEastAsia" w:hAnsiTheme="majorHAnsi" w:cstheme="majorBidi"/>
          <w:b/>
          <w:bCs/>
          <w:color w:val="2F5496" w:themeColor="accent1" w:themeShade="BF"/>
          <w:sz w:val="28"/>
          <w:szCs w:val="28"/>
        </w:rPr>
      </w:pPr>
      <w:bookmarkStart w:id="126" w:name="_Toc33093588"/>
      <w:bookmarkStart w:id="127" w:name="_Toc40706006"/>
      <w:bookmarkStart w:id="128" w:name="_Toc1387154"/>
      <w:bookmarkStart w:id="129" w:name="_Toc9685050"/>
      <w:bookmarkEnd w:id="100"/>
      <w:bookmarkEnd w:id="101"/>
      <w:r>
        <w:br w:type="page"/>
      </w:r>
    </w:p>
    <w:p w14:paraId="7D3B9877" w14:textId="77777777" w:rsidR="00515224" w:rsidRPr="00575A7E" w:rsidRDefault="00515224" w:rsidP="003B1BE9">
      <w:pPr>
        <w:pStyle w:val="1"/>
        <w:spacing w:before="0" w:line="276" w:lineRule="auto"/>
        <w:jc w:val="center"/>
      </w:pPr>
      <w:bookmarkStart w:id="130" w:name="_Toc67401923"/>
      <w:r w:rsidRPr="00575A7E">
        <w:lastRenderedPageBreak/>
        <w:t>3. Διαρθρωτικές εξελίξεις</w:t>
      </w:r>
      <w:bookmarkEnd w:id="126"/>
      <w:bookmarkEnd w:id="127"/>
      <w:bookmarkEnd w:id="130"/>
    </w:p>
    <w:p w14:paraId="7254FD8C" w14:textId="77777777" w:rsidR="00225C3C" w:rsidRPr="00575A7E" w:rsidRDefault="00225C3C" w:rsidP="003B1BE9">
      <w:pPr>
        <w:spacing w:after="0" w:line="276" w:lineRule="auto"/>
      </w:pPr>
    </w:p>
    <w:p w14:paraId="418FC87D" w14:textId="77777777" w:rsidR="00515224" w:rsidRPr="00575A7E" w:rsidRDefault="00515224" w:rsidP="003B1BE9">
      <w:pPr>
        <w:pStyle w:val="2"/>
        <w:spacing w:before="0" w:line="276" w:lineRule="auto"/>
        <w:rPr>
          <w:rFonts w:eastAsia="Times New Roman"/>
        </w:rPr>
      </w:pPr>
      <w:bookmarkStart w:id="131" w:name="_Toc8222131"/>
      <w:bookmarkStart w:id="132" w:name="_Toc9685045"/>
      <w:bookmarkStart w:id="133" w:name="_Toc15911898"/>
      <w:bookmarkStart w:id="134" w:name="_Toc23936601"/>
      <w:bookmarkStart w:id="135" w:name="_Toc33093589"/>
      <w:bookmarkStart w:id="136" w:name="_Toc40706007"/>
      <w:bookmarkStart w:id="137" w:name="_Toc55711938"/>
      <w:bookmarkStart w:id="138" w:name="_Toc67401924"/>
      <w:r w:rsidRPr="00575A7E">
        <w:rPr>
          <w:rFonts w:eastAsia="Times New Roman"/>
        </w:rPr>
        <w:t xml:space="preserve">3.1. Κοινωνική </w:t>
      </w:r>
      <w:bookmarkEnd w:id="131"/>
      <w:bookmarkEnd w:id="132"/>
      <w:bookmarkEnd w:id="133"/>
      <w:bookmarkEnd w:id="134"/>
      <w:r w:rsidRPr="00575A7E">
        <w:rPr>
          <w:rFonts w:eastAsia="Times New Roman"/>
        </w:rPr>
        <w:t>ασφάλιση</w:t>
      </w:r>
      <w:bookmarkEnd w:id="135"/>
      <w:bookmarkEnd w:id="136"/>
      <w:bookmarkEnd w:id="137"/>
      <w:bookmarkEnd w:id="138"/>
    </w:p>
    <w:p w14:paraId="440B3B27" w14:textId="77777777" w:rsidR="00A8517A" w:rsidRPr="00575A7E" w:rsidRDefault="00A8517A" w:rsidP="003B1BE9">
      <w:pPr>
        <w:spacing w:after="0" w:line="276" w:lineRule="auto"/>
      </w:pPr>
    </w:p>
    <w:p w14:paraId="71EC4F2F" w14:textId="1BDEB7A7" w:rsidR="007C3A64" w:rsidRPr="00575A7E" w:rsidRDefault="00A57564" w:rsidP="003B1BE9">
      <w:pPr>
        <w:spacing w:line="276" w:lineRule="auto"/>
        <w:jc w:val="both"/>
        <w:rPr>
          <w:rFonts w:ascii="Calibri" w:eastAsia="Calibri" w:hAnsi="Calibri" w:cs="Times New Roman"/>
          <w:color w:val="595959" w:themeColor="text1" w:themeTint="A6"/>
        </w:rPr>
      </w:pPr>
      <w:bookmarkStart w:id="139" w:name="_Toc15911901"/>
      <w:r>
        <w:rPr>
          <w:rFonts w:ascii="Calibri" w:eastAsia="Calibri" w:hAnsi="Calibri" w:cs="Times New Roman"/>
          <w:color w:val="595959" w:themeColor="text1" w:themeTint="A6"/>
        </w:rPr>
        <w:t xml:space="preserve">Η </w:t>
      </w:r>
      <w:r w:rsidR="007C3A64" w:rsidRPr="00575A7E">
        <w:rPr>
          <w:rFonts w:ascii="Calibri" w:eastAsia="Calibri" w:hAnsi="Calibri" w:cs="Times New Roman"/>
          <w:color w:val="595959" w:themeColor="text1" w:themeTint="A6"/>
        </w:rPr>
        <w:t xml:space="preserve">εκτέλεση του προϋπολογισμού των ασφαλιστικών ταμείων στο τέλος του έτους 2020 εμφανίζει μειωμένο πλεόνασμα κατά 447 εκατ. ευρώ σε σχέση με το 2019 (πλεόνασμα 1.013 εκατ. ευρώ), παρουσιάζοντας πλεόνασμα 565 εκατ. ευρώ, καθώς τα έσοδα είναι αυξημένα κατά 743 εκατ. ευρώ και οι δαπάνες αυξημένες κατά 1.190 εκατ. ευρώ. </w:t>
      </w:r>
    </w:p>
    <w:p w14:paraId="11A6A840" w14:textId="77777777" w:rsidR="007C3A64" w:rsidRPr="00575A7E" w:rsidRDefault="007C3A64" w:rsidP="003B1BE9">
      <w:pPr>
        <w:spacing w:after="0"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 xml:space="preserve">Η αύξηση των εσόδων οφείλεται κατά κύριο λόγο στη μεταβίβαση 1.400 εκατ. ευρώ για την καταβολή αναδρομικών τον Οκτώβριο 2020. Σε σχέση με το έτος 2019, οι εισπράξεις υπέρ τρίτων εμφανίζονται αυξημένες κατά 402 εκατ. ευρώ, ενώ οι μεταβιβάσεις από τον κρατικό προϋπολογισμό εμφανίζονται μειωμένες κατά 561 εκατ. ευρώ και τα έσοδα από εισφορές και ρυθμίσεις οφειλών είναι αυξημένα κατά 743 εκατ. ευρώ. Σημειώνεται ότι η κάλυψη των ασφαλιστικών εισφορών από το κράτος για τους εργαζόμενους σε αναστολή, έχει καταγραφεί στα έσοδα από εισφορές. </w:t>
      </w:r>
    </w:p>
    <w:p w14:paraId="41916190" w14:textId="77777777" w:rsidR="007C3A64" w:rsidRPr="00575A7E" w:rsidRDefault="007C3A64" w:rsidP="003B1BE9">
      <w:pPr>
        <w:pStyle w:val="ae"/>
        <w:keepNext/>
        <w:spacing w:after="0" w:line="276" w:lineRule="auto"/>
        <w:rPr>
          <w:i w:val="0"/>
          <w:iCs w:val="0"/>
          <w:color w:val="595959" w:themeColor="text1" w:themeTint="A6"/>
          <w:sz w:val="22"/>
          <w:szCs w:val="22"/>
        </w:rPr>
      </w:pPr>
      <w:bookmarkStart w:id="140" w:name="_Toc1387084"/>
    </w:p>
    <w:p w14:paraId="0158A1A4" w14:textId="09FACEBC" w:rsidR="003E0FB8" w:rsidRPr="00575A7E" w:rsidRDefault="00D960BC" w:rsidP="00D960BC">
      <w:pPr>
        <w:pStyle w:val="ae"/>
        <w:jc w:val="center"/>
      </w:pPr>
      <w:bookmarkStart w:id="141" w:name="_Toc67396687"/>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8</w:t>
      </w:r>
      <w:r w:rsidR="0096217C">
        <w:rPr>
          <w:noProof/>
        </w:rPr>
        <w:fldChar w:fldCharType="end"/>
      </w:r>
      <w:r>
        <w:t xml:space="preserve"> </w:t>
      </w:r>
      <w:r w:rsidR="003E0FB8" w:rsidRPr="00575A7E">
        <w:t>Εκτέλεση προϋπολογισμού κοινωνικής ασφάλισης, Ιανουάριος – Δεκέμβριος 2020, σε εκατ. ευρώ</w:t>
      </w:r>
      <w:bookmarkEnd w:id="141"/>
    </w:p>
    <w:tbl>
      <w:tblPr>
        <w:tblW w:w="6036" w:type="dxa"/>
        <w:jc w:val="center"/>
        <w:tblLook w:val="04A0" w:firstRow="1" w:lastRow="0" w:firstColumn="1" w:lastColumn="0" w:noHBand="0" w:noVBand="1"/>
      </w:tblPr>
      <w:tblGrid>
        <w:gridCol w:w="2596"/>
        <w:gridCol w:w="1235"/>
        <w:gridCol w:w="1245"/>
        <w:gridCol w:w="960"/>
      </w:tblGrid>
      <w:tr w:rsidR="007C3A64" w:rsidRPr="00575A7E" w14:paraId="72FF2443" w14:textId="77777777" w:rsidTr="000E6E29">
        <w:trPr>
          <w:trHeight w:val="300"/>
          <w:jc w:val="center"/>
        </w:trPr>
        <w:tc>
          <w:tcPr>
            <w:tcW w:w="2596" w:type="dxa"/>
            <w:tcBorders>
              <w:top w:val="nil"/>
              <w:left w:val="nil"/>
              <w:bottom w:val="single" w:sz="4" w:space="0" w:color="auto"/>
              <w:right w:val="nil"/>
            </w:tcBorders>
            <w:vAlign w:val="center"/>
            <w:hideMark/>
          </w:tcPr>
          <w:p w14:paraId="403DB944" w14:textId="77777777" w:rsidR="007C3A64" w:rsidRPr="00575A7E" w:rsidRDefault="007C3A64" w:rsidP="003B1BE9">
            <w:pPr>
              <w:spacing w:after="200" w:line="276" w:lineRule="auto"/>
              <w:rPr>
                <w:color w:val="595959" w:themeColor="text1" w:themeTint="A6"/>
              </w:rPr>
            </w:pPr>
          </w:p>
        </w:tc>
        <w:tc>
          <w:tcPr>
            <w:tcW w:w="1235" w:type="dxa"/>
            <w:tcBorders>
              <w:top w:val="nil"/>
              <w:left w:val="nil"/>
              <w:bottom w:val="single" w:sz="4" w:space="0" w:color="auto"/>
              <w:right w:val="nil"/>
            </w:tcBorders>
            <w:noWrap/>
            <w:vAlign w:val="center"/>
          </w:tcPr>
          <w:p w14:paraId="1AF9316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2019</w:t>
            </w:r>
          </w:p>
        </w:tc>
        <w:tc>
          <w:tcPr>
            <w:tcW w:w="1245" w:type="dxa"/>
            <w:tcBorders>
              <w:top w:val="nil"/>
              <w:left w:val="nil"/>
              <w:bottom w:val="single" w:sz="4" w:space="0" w:color="auto"/>
              <w:right w:val="nil"/>
            </w:tcBorders>
            <w:vAlign w:val="center"/>
          </w:tcPr>
          <w:p w14:paraId="64E84D1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eastAsia="el-GR"/>
              </w:rPr>
              <w:t>2020</w:t>
            </w:r>
          </w:p>
        </w:tc>
        <w:tc>
          <w:tcPr>
            <w:tcW w:w="960" w:type="dxa"/>
            <w:tcBorders>
              <w:top w:val="nil"/>
              <w:left w:val="nil"/>
              <w:bottom w:val="single" w:sz="4" w:space="0" w:color="auto"/>
              <w:right w:val="nil"/>
            </w:tcBorders>
            <w:noWrap/>
            <w:vAlign w:val="center"/>
            <w:hideMark/>
          </w:tcPr>
          <w:p w14:paraId="3EE1AEE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Διαφορά</w:t>
            </w:r>
          </w:p>
        </w:tc>
      </w:tr>
      <w:tr w:rsidR="007C3A64" w:rsidRPr="00575A7E" w14:paraId="01D10492" w14:textId="77777777" w:rsidTr="000E6E29">
        <w:trPr>
          <w:trHeight w:val="300"/>
          <w:jc w:val="center"/>
        </w:trPr>
        <w:tc>
          <w:tcPr>
            <w:tcW w:w="2596" w:type="dxa"/>
            <w:tcBorders>
              <w:top w:val="single" w:sz="4" w:space="0" w:color="auto"/>
              <w:left w:val="nil"/>
              <w:bottom w:val="nil"/>
              <w:right w:val="nil"/>
            </w:tcBorders>
            <w:vAlign w:val="center"/>
            <w:hideMark/>
          </w:tcPr>
          <w:p w14:paraId="411F0A76" w14:textId="77777777" w:rsidR="007C3A64" w:rsidRPr="00575A7E" w:rsidRDefault="007C3A64" w:rsidP="003B1BE9">
            <w:pPr>
              <w:spacing w:after="0" w:line="276" w:lineRule="auto"/>
              <w:rPr>
                <w:rFonts w:ascii="Calibri" w:eastAsia="Times New Roman" w:hAnsi="Calibri" w:cs="Times New Roman"/>
                <w:b/>
                <w:bCs/>
                <w:color w:val="595959" w:themeColor="text1" w:themeTint="A6"/>
                <w:sz w:val="18"/>
                <w:szCs w:val="18"/>
                <w:lang w:eastAsia="el-GR"/>
              </w:rPr>
            </w:pPr>
            <w:r w:rsidRPr="00575A7E">
              <w:rPr>
                <w:rFonts w:ascii="Calibri" w:eastAsia="Times New Roman" w:hAnsi="Calibri" w:cs="Times New Roman"/>
                <w:b/>
                <w:bCs/>
                <w:color w:val="595959" w:themeColor="text1" w:themeTint="A6"/>
                <w:sz w:val="18"/>
                <w:szCs w:val="18"/>
                <w:lang w:eastAsia="el-GR"/>
              </w:rPr>
              <w:t>ΕΣΟΔΑ</w:t>
            </w:r>
          </w:p>
        </w:tc>
        <w:tc>
          <w:tcPr>
            <w:tcW w:w="1235" w:type="dxa"/>
            <w:tcBorders>
              <w:top w:val="single" w:sz="4" w:space="0" w:color="auto"/>
              <w:left w:val="nil"/>
              <w:bottom w:val="nil"/>
              <w:right w:val="nil"/>
            </w:tcBorders>
            <w:noWrap/>
            <w:vAlign w:val="center"/>
          </w:tcPr>
          <w:p w14:paraId="5EE12EE7"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r w:rsidRPr="00575A7E">
              <w:rPr>
                <w:rFonts w:ascii="Calibri" w:eastAsia="Times New Roman" w:hAnsi="Calibri" w:cs="Times New Roman"/>
                <w:b/>
                <w:color w:val="595959" w:themeColor="text1" w:themeTint="A6"/>
                <w:sz w:val="18"/>
                <w:szCs w:val="18"/>
                <w:lang w:eastAsia="el-GR"/>
              </w:rPr>
              <w:t>44.164</w:t>
            </w:r>
          </w:p>
        </w:tc>
        <w:tc>
          <w:tcPr>
            <w:tcW w:w="1245" w:type="dxa"/>
            <w:tcBorders>
              <w:top w:val="single" w:sz="4" w:space="0" w:color="auto"/>
              <w:left w:val="nil"/>
              <w:bottom w:val="nil"/>
              <w:right w:val="nil"/>
            </w:tcBorders>
            <w:vAlign w:val="center"/>
          </w:tcPr>
          <w:p w14:paraId="7FD12C2E"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44.907</w:t>
            </w:r>
          </w:p>
        </w:tc>
        <w:tc>
          <w:tcPr>
            <w:tcW w:w="960" w:type="dxa"/>
            <w:tcBorders>
              <w:top w:val="single" w:sz="4" w:space="0" w:color="auto"/>
              <w:left w:val="nil"/>
              <w:bottom w:val="nil"/>
              <w:right w:val="nil"/>
            </w:tcBorders>
            <w:noWrap/>
            <w:vAlign w:val="center"/>
          </w:tcPr>
          <w:p w14:paraId="1698DFDE" w14:textId="77777777" w:rsidR="007C3A64" w:rsidRPr="00575A7E" w:rsidRDefault="007C3A64" w:rsidP="003B1BE9">
            <w:pPr>
              <w:spacing w:after="0" w:line="276" w:lineRule="auto"/>
              <w:jc w:val="right"/>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743</w:t>
            </w:r>
          </w:p>
        </w:tc>
      </w:tr>
      <w:tr w:rsidR="007C3A64" w:rsidRPr="00575A7E" w14:paraId="34C5DC47" w14:textId="77777777" w:rsidTr="000E6E29">
        <w:trPr>
          <w:trHeight w:val="269"/>
          <w:jc w:val="center"/>
        </w:trPr>
        <w:tc>
          <w:tcPr>
            <w:tcW w:w="2596" w:type="dxa"/>
            <w:vAlign w:val="center"/>
            <w:hideMark/>
          </w:tcPr>
          <w:p w14:paraId="4AA8FC00"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Εισφορές και ρυθμίσεις οφειλών</w:t>
            </w:r>
          </w:p>
        </w:tc>
        <w:tc>
          <w:tcPr>
            <w:tcW w:w="1235" w:type="dxa"/>
            <w:noWrap/>
            <w:vAlign w:val="center"/>
          </w:tcPr>
          <w:p w14:paraId="4FD87739"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15.231</w:t>
            </w:r>
          </w:p>
        </w:tc>
        <w:tc>
          <w:tcPr>
            <w:tcW w:w="1245" w:type="dxa"/>
            <w:vAlign w:val="center"/>
          </w:tcPr>
          <w:p w14:paraId="3E62B3C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14.837</w:t>
            </w:r>
          </w:p>
        </w:tc>
        <w:tc>
          <w:tcPr>
            <w:tcW w:w="960" w:type="dxa"/>
            <w:shd w:val="clear" w:color="auto" w:fill="auto"/>
            <w:noWrap/>
            <w:vAlign w:val="center"/>
          </w:tcPr>
          <w:p w14:paraId="6B97AC9C"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  394</w:t>
            </w:r>
          </w:p>
        </w:tc>
      </w:tr>
      <w:tr w:rsidR="007C3A64" w:rsidRPr="00575A7E" w14:paraId="4A6CB07F" w14:textId="77777777" w:rsidTr="000E6E29">
        <w:trPr>
          <w:trHeight w:val="480"/>
          <w:jc w:val="center"/>
        </w:trPr>
        <w:tc>
          <w:tcPr>
            <w:tcW w:w="2596" w:type="dxa"/>
            <w:vAlign w:val="center"/>
            <w:hideMark/>
          </w:tcPr>
          <w:p w14:paraId="25A05029"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Μεταβιβάσεις από κρατικό προϋπολογισμό</w:t>
            </w:r>
          </w:p>
        </w:tc>
        <w:tc>
          <w:tcPr>
            <w:tcW w:w="1235" w:type="dxa"/>
            <w:noWrap/>
            <w:vAlign w:val="center"/>
          </w:tcPr>
          <w:p w14:paraId="122FE97F"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14.869</w:t>
            </w:r>
          </w:p>
        </w:tc>
        <w:tc>
          <w:tcPr>
            <w:tcW w:w="1245" w:type="dxa"/>
            <w:vAlign w:val="center"/>
          </w:tcPr>
          <w:p w14:paraId="531D743E"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14.308</w:t>
            </w:r>
          </w:p>
        </w:tc>
        <w:tc>
          <w:tcPr>
            <w:tcW w:w="960" w:type="dxa"/>
            <w:shd w:val="clear" w:color="auto" w:fill="auto"/>
            <w:noWrap/>
            <w:vAlign w:val="center"/>
          </w:tcPr>
          <w:p w14:paraId="2C0156D3"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  561</w:t>
            </w:r>
          </w:p>
        </w:tc>
      </w:tr>
      <w:tr w:rsidR="007C3A64" w:rsidRPr="00575A7E" w14:paraId="01B48725" w14:textId="77777777" w:rsidTr="000E6E29">
        <w:trPr>
          <w:trHeight w:val="300"/>
          <w:jc w:val="center"/>
        </w:trPr>
        <w:tc>
          <w:tcPr>
            <w:tcW w:w="2596" w:type="dxa"/>
            <w:vAlign w:val="center"/>
            <w:hideMark/>
          </w:tcPr>
          <w:p w14:paraId="46BBDBCB"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Εισπράξεις υπέρ τρίτων</w:t>
            </w:r>
          </w:p>
        </w:tc>
        <w:tc>
          <w:tcPr>
            <w:tcW w:w="1235" w:type="dxa"/>
            <w:noWrap/>
            <w:vAlign w:val="center"/>
          </w:tcPr>
          <w:p w14:paraId="2FEBC48D"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11.930</w:t>
            </w:r>
          </w:p>
        </w:tc>
        <w:tc>
          <w:tcPr>
            <w:tcW w:w="1245" w:type="dxa"/>
            <w:vAlign w:val="center"/>
          </w:tcPr>
          <w:p w14:paraId="02E02BD8"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12.332</w:t>
            </w:r>
          </w:p>
        </w:tc>
        <w:tc>
          <w:tcPr>
            <w:tcW w:w="960" w:type="dxa"/>
            <w:shd w:val="clear" w:color="auto" w:fill="auto"/>
            <w:noWrap/>
            <w:vAlign w:val="center"/>
          </w:tcPr>
          <w:p w14:paraId="6CFEB00B"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402</w:t>
            </w:r>
          </w:p>
        </w:tc>
      </w:tr>
      <w:tr w:rsidR="007C3A64" w:rsidRPr="00575A7E" w14:paraId="6B67E6A9" w14:textId="77777777" w:rsidTr="000E6E29">
        <w:trPr>
          <w:trHeight w:val="300"/>
          <w:jc w:val="center"/>
        </w:trPr>
        <w:tc>
          <w:tcPr>
            <w:tcW w:w="2596" w:type="dxa"/>
            <w:vAlign w:val="center"/>
            <w:hideMark/>
          </w:tcPr>
          <w:p w14:paraId="05B14547"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Άλλα έσοδα</w:t>
            </w:r>
          </w:p>
        </w:tc>
        <w:tc>
          <w:tcPr>
            <w:tcW w:w="1235" w:type="dxa"/>
            <w:noWrap/>
            <w:vAlign w:val="center"/>
          </w:tcPr>
          <w:p w14:paraId="7CBB560F"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2.134</w:t>
            </w:r>
          </w:p>
        </w:tc>
        <w:tc>
          <w:tcPr>
            <w:tcW w:w="1245" w:type="dxa"/>
            <w:vAlign w:val="center"/>
          </w:tcPr>
          <w:p w14:paraId="39E18729"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3.430</w:t>
            </w:r>
          </w:p>
        </w:tc>
        <w:tc>
          <w:tcPr>
            <w:tcW w:w="960" w:type="dxa"/>
            <w:shd w:val="clear" w:color="auto" w:fill="auto"/>
            <w:noWrap/>
            <w:vAlign w:val="center"/>
          </w:tcPr>
          <w:p w14:paraId="1C0AF50E"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1.296</w:t>
            </w:r>
          </w:p>
        </w:tc>
      </w:tr>
      <w:tr w:rsidR="007C3A64" w:rsidRPr="00575A7E" w14:paraId="1068E12E" w14:textId="77777777" w:rsidTr="00DD1444">
        <w:trPr>
          <w:trHeight w:val="197"/>
          <w:jc w:val="center"/>
        </w:trPr>
        <w:tc>
          <w:tcPr>
            <w:tcW w:w="2596" w:type="dxa"/>
            <w:vAlign w:val="center"/>
          </w:tcPr>
          <w:p w14:paraId="0C08D3AA" w14:textId="77777777" w:rsidR="007C3A64" w:rsidRPr="00575A7E" w:rsidRDefault="007C3A64" w:rsidP="003B1BE9">
            <w:pPr>
              <w:spacing w:after="0" w:line="276" w:lineRule="auto"/>
              <w:rPr>
                <w:rFonts w:ascii="Calibri" w:eastAsia="Times New Roman" w:hAnsi="Calibri" w:cs="Times New Roman"/>
                <w:b/>
                <w:bCs/>
                <w:color w:val="595959" w:themeColor="text1" w:themeTint="A6"/>
                <w:sz w:val="18"/>
                <w:szCs w:val="18"/>
                <w:lang w:eastAsia="el-GR"/>
              </w:rPr>
            </w:pPr>
          </w:p>
        </w:tc>
        <w:tc>
          <w:tcPr>
            <w:tcW w:w="1235" w:type="dxa"/>
            <w:noWrap/>
            <w:vAlign w:val="center"/>
          </w:tcPr>
          <w:p w14:paraId="49ACD462"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p>
        </w:tc>
        <w:tc>
          <w:tcPr>
            <w:tcW w:w="1245" w:type="dxa"/>
            <w:vAlign w:val="center"/>
          </w:tcPr>
          <w:p w14:paraId="065C9337"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p>
        </w:tc>
        <w:tc>
          <w:tcPr>
            <w:tcW w:w="960" w:type="dxa"/>
            <w:noWrap/>
            <w:vAlign w:val="center"/>
          </w:tcPr>
          <w:p w14:paraId="28884FC4" w14:textId="77777777" w:rsidR="007C3A64" w:rsidRPr="00575A7E" w:rsidRDefault="007C3A64" w:rsidP="003B1BE9">
            <w:pPr>
              <w:spacing w:after="0" w:line="276" w:lineRule="auto"/>
              <w:jc w:val="right"/>
              <w:rPr>
                <w:rFonts w:ascii="Calibri" w:eastAsia="Times New Roman" w:hAnsi="Calibri" w:cs="Times New Roman"/>
                <w:b/>
                <w:color w:val="595959" w:themeColor="text1" w:themeTint="A6"/>
                <w:sz w:val="18"/>
                <w:szCs w:val="18"/>
                <w:lang w:eastAsia="el-GR"/>
              </w:rPr>
            </w:pPr>
          </w:p>
        </w:tc>
      </w:tr>
      <w:tr w:rsidR="007C3A64" w:rsidRPr="00575A7E" w14:paraId="5464A9C1" w14:textId="77777777" w:rsidTr="000E6E29">
        <w:trPr>
          <w:trHeight w:val="300"/>
          <w:jc w:val="center"/>
        </w:trPr>
        <w:tc>
          <w:tcPr>
            <w:tcW w:w="2596" w:type="dxa"/>
            <w:vAlign w:val="center"/>
            <w:hideMark/>
          </w:tcPr>
          <w:p w14:paraId="2293666C" w14:textId="77777777" w:rsidR="007C3A64" w:rsidRPr="00575A7E" w:rsidRDefault="007C3A64" w:rsidP="003B1BE9">
            <w:pPr>
              <w:spacing w:after="0" w:line="276" w:lineRule="auto"/>
              <w:rPr>
                <w:rFonts w:ascii="Calibri" w:eastAsia="Times New Roman" w:hAnsi="Calibri" w:cs="Times New Roman"/>
                <w:b/>
                <w:bCs/>
                <w:color w:val="595959" w:themeColor="text1" w:themeTint="A6"/>
                <w:sz w:val="18"/>
                <w:szCs w:val="18"/>
                <w:lang w:eastAsia="el-GR"/>
              </w:rPr>
            </w:pPr>
            <w:r w:rsidRPr="00575A7E">
              <w:rPr>
                <w:rFonts w:ascii="Calibri" w:eastAsia="Times New Roman" w:hAnsi="Calibri" w:cs="Times New Roman"/>
                <w:b/>
                <w:bCs/>
                <w:color w:val="595959" w:themeColor="text1" w:themeTint="A6"/>
                <w:sz w:val="18"/>
                <w:szCs w:val="18"/>
                <w:lang w:eastAsia="el-GR"/>
              </w:rPr>
              <w:t>ΔΑΠΑΝΕΣ</w:t>
            </w:r>
          </w:p>
        </w:tc>
        <w:tc>
          <w:tcPr>
            <w:tcW w:w="1235" w:type="dxa"/>
            <w:noWrap/>
            <w:vAlign w:val="center"/>
          </w:tcPr>
          <w:p w14:paraId="0BCD065E"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r w:rsidRPr="00575A7E">
              <w:rPr>
                <w:rFonts w:ascii="Calibri" w:eastAsia="Times New Roman" w:hAnsi="Calibri" w:cs="Times New Roman"/>
                <w:b/>
                <w:color w:val="595959" w:themeColor="text1" w:themeTint="A6"/>
                <w:sz w:val="18"/>
                <w:szCs w:val="18"/>
                <w:lang w:eastAsia="el-GR"/>
              </w:rPr>
              <w:t>43.151</w:t>
            </w:r>
          </w:p>
        </w:tc>
        <w:tc>
          <w:tcPr>
            <w:tcW w:w="1245" w:type="dxa"/>
            <w:vAlign w:val="center"/>
          </w:tcPr>
          <w:p w14:paraId="537A026A"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44.341</w:t>
            </w:r>
          </w:p>
        </w:tc>
        <w:tc>
          <w:tcPr>
            <w:tcW w:w="960" w:type="dxa"/>
            <w:noWrap/>
            <w:vAlign w:val="center"/>
          </w:tcPr>
          <w:p w14:paraId="0ABB742D" w14:textId="77777777" w:rsidR="007C3A64" w:rsidRPr="00575A7E" w:rsidRDefault="007C3A64" w:rsidP="003B1BE9">
            <w:pPr>
              <w:spacing w:after="0" w:line="276" w:lineRule="auto"/>
              <w:jc w:val="right"/>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1.190</w:t>
            </w:r>
          </w:p>
        </w:tc>
      </w:tr>
      <w:tr w:rsidR="007C3A64" w:rsidRPr="00575A7E" w14:paraId="7F2D2274" w14:textId="77777777" w:rsidTr="000E6E29">
        <w:trPr>
          <w:trHeight w:val="297"/>
          <w:jc w:val="center"/>
        </w:trPr>
        <w:tc>
          <w:tcPr>
            <w:tcW w:w="2596" w:type="dxa"/>
            <w:vAlign w:val="center"/>
            <w:hideMark/>
          </w:tcPr>
          <w:p w14:paraId="34D12EED"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Συντάξεις (κύριες και επικουρικές)</w:t>
            </w:r>
          </w:p>
        </w:tc>
        <w:tc>
          <w:tcPr>
            <w:tcW w:w="1235" w:type="dxa"/>
            <w:noWrap/>
            <w:vAlign w:val="center"/>
          </w:tcPr>
          <w:p w14:paraId="5801FD75"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28.158</w:t>
            </w:r>
          </w:p>
        </w:tc>
        <w:tc>
          <w:tcPr>
            <w:tcW w:w="1245" w:type="dxa"/>
            <w:vAlign w:val="center"/>
          </w:tcPr>
          <w:p w14:paraId="5F6556A8"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28.731</w:t>
            </w:r>
          </w:p>
        </w:tc>
        <w:tc>
          <w:tcPr>
            <w:tcW w:w="960" w:type="dxa"/>
            <w:noWrap/>
            <w:vAlign w:val="center"/>
          </w:tcPr>
          <w:p w14:paraId="4DBA4D1D"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572</w:t>
            </w:r>
          </w:p>
        </w:tc>
      </w:tr>
      <w:tr w:rsidR="007C3A64" w:rsidRPr="00575A7E" w14:paraId="7EC3F865" w14:textId="77777777" w:rsidTr="000E6E29">
        <w:trPr>
          <w:trHeight w:val="291"/>
          <w:jc w:val="center"/>
        </w:trPr>
        <w:tc>
          <w:tcPr>
            <w:tcW w:w="2596" w:type="dxa"/>
            <w:vAlign w:val="center"/>
            <w:hideMark/>
          </w:tcPr>
          <w:p w14:paraId="018FC2F1"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 xml:space="preserve">Άλλες παροχές και εφάπαξ </w:t>
            </w:r>
          </w:p>
        </w:tc>
        <w:tc>
          <w:tcPr>
            <w:tcW w:w="1235" w:type="dxa"/>
            <w:noWrap/>
            <w:vAlign w:val="center"/>
          </w:tcPr>
          <w:p w14:paraId="0336425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1.963</w:t>
            </w:r>
          </w:p>
        </w:tc>
        <w:tc>
          <w:tcPr>
            <w:tcW w:w="1245" w:type="dxa"/>
            <w:vAlign w:val="center"/>
          </w:tcPr>
          <w:p w14:paraId="539BAC38"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975</w:t>
            </w:r>
          </w:p>
        </w:tc>
        <w:tc>
          <w:tcPr>
            <w:tcW w:w="960" w:type="dxa"/>
            <w:noWrap/>
            <w:vAlign w:val="center"/>
          </w:tcPr>
          <w:p w14:paraId="162AB08E"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  988</w:t>
            </w:r>
          </w:p>
        </w:tc>
      </w:tr>
      <w:tr w:rsidR="007C3A64" w:rsidRPr="00575A7E" w14:paraId="4556D82A" w14:textId="77777777" w:rsidTr="000E6E29">
        <w:trPr>
          <w:trHeight w:val="300"/>
          <w:jc w:val="center"/>
        </w:trPr>
        <w:tc>
          <w:tcPr>
            <w:tcW w:w="2596" w:type="dxa"/>
            <w:vAlign w:val="center"/>
            <w:hideMark/>
          </w:tcPr>
          <w:p w14:paraId="3F1D3F77"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Αποδόσεις προς τρίτους</w:t>
            </w:r>
          </w:p>
        </w:tc>
        <w:tc>
          <w:tcPr>
            <w:tcW w:w="1235" w:type="dxa"/>
            <w:noWrap/>
            <w:vAlign w:val="center"/>
          </w:tcPr>
          <w:p w14:paraId="60188CF9"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11.925</w:t>
            </w:r>
          </w:p>
        </w:tc>
        <w:tc>
          <w:tcPr>
            <w:tcW w:w="1245" w:type="dxa"/>
            <w:vAlign w:val="center"/>
          </w:tcPr>
          <w:p w14:paraId="28E5170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12.265</w:t>
            </w:r>
          </w:p>
        </w:tc>
        <w:tc>
          <w:tcPr>
            <w:tcW w:w="960" w:type="dxa"/>
            <w:noWrap/>
            <w:vAlign w:val="center"/>
          </w:tcPr>
          <w:p w14:paraId="77B06670"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340</w:t>
            </w:r>
          </w:p>
        </w:tc>
      </w:tr>
      <w:tr w:rsidR="007C3A64" w:rsidRPr="00575A7E" w14:paraId="1655A75E" w14:textId="77777777" w:rsidTr="000E6E29">
        <w:trPr>
          <w:trHeight w:val="300"/>
          <w:jc w:val="center"/>
        </w:trPr>
        <w:tc>
          <w:tcPr>
            <w:tcW w:w="2596" w:type="dxa"/>
            <w:vAlign w:val="center"/>
            <w:hideMark/>
          </w:tcPr>
          <w:p w14:paraId="2FAF984E"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Άλλες δαπάνες</w:t>
            </w:r>
          </w:p>
        </w:tc>
        <w:tc>
          <w:tcPr>
            <w:tcW w:w="1235" w:type="dxa"/>
            <w:noWrap/>
            <w:vAlign w:val="center"/>
          </w:tcPr>
          <w:p w14:paraId="7E72A20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1.105</w:t>
            </w:r>
          </w:p>
        </w:tc>
        <w:tc>
          <w:tcPr>
            <w:tcW w:w="1245" w:type="dxa"/>
            <w:vAlign w:val="center"/>
          </w:tcPr>
          <w:p w14:paraId="0EBEE181"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2.371</w:t>
            </w:r>
          </w:p>
        </w:tc>
        <w:tc>
          <w:tcPr>
            <w:tcW w:w="960" w:type="dxa"/>
            <w:noWrap/>
            <w:vAlign w:val="center"/>
          </w:tcPr>
          <w:p w14:paraId="4BDDC830" w14:textId="77777777" w:rsidR="007C3A64" w:rsidRPr="00575A7E" w:rsidRDefault="007C3A64" w:rsidP="003B1BE9">
            <w:pPr>
              <w:spacing w:after="0" w:line="276" w:lineRule="auto"/>
              <w:jc w:val="right"/>
              <w:rPr>
                <w:rFonts w:ascii="Calibri" w:eastAsia="Times New Roman" w:hAnsi="Calibri" w:cs="Times New Roman"/>
                <w:color w:val="595959" w:themeColor="text1" w:themeTint="A6"/>
                <w:sz w:val="18"/>
                <w:szCs w:val="18"/>
                <w:lang w:val="en-US" w:eastAsia="el-GR"/>
              </w:rPr>
            </w:pPr>
            <w:r w:rsidRPr="00575A7E">
              <w:rPr>
                <w:rFonts w:ascii="Calibri" w:eastAsia="Times New Roman" w:hAnsi="Calibri" w:cs="Times New Roman"/>
                <w:color w:val="595959" w:themeColor="text1" w:themeTint="A6"/>
                <w:sz w:val="18"/>
                <w:szCs w:val="18"/>
                <w:lang w:val="en-US" w:eastAsia="el-GR"/>
              </w:rPr>
              <w:t>1.266</w:t>
            </w:r>
          </w:p>
        </w:tc>
      </w:tr>
      <w:tr w:rsidR="007C3A64" w:rsidRPr="00575A7E" w14:paraId="40A65765" w14:textId="77777777" w:rsidTr="000E6E29">
        <w:trPr>
          <w:trHeight w:val="300"/>
          <w:jc w:val="center"/>
        </w:trPr>
        <w:tc>
          <w:tcPr>
            <w:tcW w:w="2596" w:type="dxa"/>
            <w:vAlign w:val="center"/>
          </w:tcPr>
          <w:p w14:paraId="6F027106" w14:textId="77777777" w:rsidR="007C3A64" w:rsidRPr="00575A7E" w:rsidRDefault="007C3A64" w:rsidP="003B1BE9">
            <w:pPr>
              <w:spacing w:after="0" w:line="276" w:lineRule="auto"/>
              <w:rPr>
                <w:rFonts w:ascii="Calibri" w:eastAsia="Times New Roman" w:hAnsi="Calibri" w:cs="Times New Roman"/>
                <w:b/>
                <w:bCs/>
                <w:color w:val="595959" w:themeColor="text1" w:themeTint="A6"/>
                <w:sz w:val="18"/>
                <w:szCs w:val="18"/>
                <w:lang w:eastAsia="el-GR"/>
              </w:rPr>
            </w:pPr>
          </w:p>
        </w:tc>
        <w:tc>
          <w:tcPr>
            <w:tcW w:w="1235" w:type="dxa"/>
            <w:noWrap/>
            <w:vAlign w:val="center"/>
          </w:tcPr>
          <w:p w14:paraId="4BB6F601"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p>
        </w:tc>
        <w:tc>
          <w:tcPr>
            <w:tcW w:w="1245" w:type="dxa"/>
            <w:vAlign w:val="center"/>
          </w:tcPr>
          <w:p w14:paraId="450863E6"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p>
        </w:tc>
        <w:tc>
          <w:tcPr>
            <w:tcW w:w="960" w:type="dxa"/>
            <w:noWrap/>
            <w:vAlign w:val="center"/>
          </w:tcPr>
          <w:p w14:paraId="6DED38BB" w14:textId="77777777" w:rsidR="007C3A64" w:rsidRPr="00575A7E" w:rsidRDefault="007C3A64" w:rsidP="003B1BE9">
            <w:pPr>
              <w:spacing w:after="0" w:line="276" w:lineRule="auto"/>
              <w:jc w:val="right"/>
              <w:rPr>
                <w:rFonts w:ascii="Calibri" w:eastAsia="Times New Roman" w:hAnsi="Calibri" w:cs="Times New Roman"/>
                <w:b/>
                <w:color w:val="595959" w:themeColor="text1" w:themeTint="A6"/>
                <w:sz w:val="18"/>
                <w:szCs w:val="18"/>
                <w:lang w:eastAsia="el-GR"/>
              </w:rPr>
            </w:pPr>
          </w:p>
        </w:tc>
      </w:tr>
      <w:tr w:rsidR="007C3A64" w:rsidRPr="00575A7E" w14:paraId="55FA2132" w14:textId="77777777" w:rsidTr="000E6E29">
        <w:trPr>
          <w:trHeight w:val="300"/>
          <w:jc w:val="center"/>
        </w:trPr>
        <w:tc>
          <w:tcPr>
            <w:tcW w:w="2596" w:type="dxa"/>
            <w:tcBorders>
              <w:top w:val="nil"/>
              <w:left w:val="nil"/>
              <w:bottom w:val="single" w:sz="4" w:space="0" w:color="auto"/>
              <w:right w:val="nil"/>
            </w:tcBorders>
            <w:vAlign w:val="center"/>
            <w:hideMark/>
          </w:tcPr>
          <w:p w14:paraId="4873821A" w14:textId="77777777" w:rsidR="007C3A64" w:rsidRPr="00575A7E" w:rsidRDefault="007C3A64" w:rsidP="003B1BE9">
            <w:pPr>
              <w:spacing w:after="0" w:line="276" w:lineRule="auto"/>
              <w:rPr>
                <w:rFonts w:ascii="Calibri" w:eastAsia="Times New Roman" w:hAnsi="Calibri" w:cs="Times New Roman"/>
                <w:b/>
                <w:bCs/>
                <w:color w:val="595959" w:themeColor="text1" w:themeTint="A6"/>
                <w:sz w:val="18"/>
                <w:szCs w:val="18"/>
                <w:lang w:eastAsia="el-GR"/>
              </w:rPr>
            </w:pPr>
            <w:r w:rsidRPr="00575A7E">
              <w:rPr>
                <w:rFonts w:ascii="Calibri" w:eastAsia="Times New Roman" w:hAnsi="Calibri" w:cs="Times New Roman"/>
                <w:b/>
                <w:bCs/>
                <w:color w:val="595959" w:themeColor="text1" w:themeTint="A6"/>
                <w:sz w:val="18"/>
                <w:szCs w:val="18"/>
                <w:lang w:eastAsia="el-GR"/>
              </w:rPr>
              <w:t>ΑΠΟΤΕΛΕΣΜΑ</w:t>
            </w:r>
          </w:p>
        </w:tc>
        <w:tc>
          <w:tcPr>
            <w:tcW w:w="1235" w:type="dxa"/>
            <w:tcBorders>
              <w:top w:val="nil"/>
              <w:left w:val="nil"/>
              <w:bottom w:val="single" w:sz="4" w:space="0" w:color="auto"/>
              <w:right w:val="nil"/>
            </w:tcBorders>
            <w:noWrap/>
            <w:vAlign w:val="center"/>
          </w:tcPr>
          <w:p w14:paraId="1252F312"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eastAsia="el-GR"/>
              </w:rPr>
            </w:pPr>
            <w:r w:rsidRPr="00575A7E">
              <w:rPr>
                <w:rFonts w:ascii="Calibri" w:eastAsia="Times New Roman" w:hAnsi="Calibri" w:cs="Times New Roman"/>
                <w:b/>
                <w:color w:val="595959" w:themeColor="text1" w:themeTint="A6"/>
                <w:sz w:val="18"/>
                <w:szCs w:val="18"/>
                <w:lang w:eastAsia="el-GR"/>
              </w:rPr>
              <w:t>1.013</w:t>
            </w:r>
          </w:p>
        </w:tc>
        <w:tc>
          <w:tcPr>
            <w:tcW w:w="1245" w:type="dxa"/>
            <w:tcBorders>
              <w:top w:val="nil"/>
              <w:left w:val="nil"/>
              <w:bottom w:val="single" w:sz="4" w:space="0" w:color="auto"/>
              <w:right w:val="nil"/>
            </w:tcBorders>
            <w:vAlign w:val="center"/>
          </w:tcPr>
          <w:p w14:paraId="1343A1EE"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565</w:t>
            </w:r>
          </w:p>
        </w:tc>
        <w:tc>
          <w:tcPr>
            <w:tcW w:w="960" w:type="dxa"/>
            <w:tcBorders>
              <w:top w:val="nil"/>
              <w:left w:val="nil"/>
              <w:bottom w:val="single" w:sz="4" w:space="0" w:color="auto"/>
              <w:right w:val="nil"/>
            </w:tcBorders>
            <w:noWrap/>
            <w:vAlign w:val="center"/>
          </w:tcPr>
          <w:p w14:paraId="24A7D744" w14:textId="77777777" w:rsidR="007C3A64" w:rsidRPr="00575A7E" w:rsidRDefault="007C3A64" w:rsidP="003B1BE9">
            <w:pPr>
              <w:spacing w:after="0" w:line="276" w:lineRule="auto"/>
              <w:jc w:val="right"/>
              <w:rPr>
                <w:rFonts w:ascii="Calibri" w:eastAsia="Times New Roman" w:hAnsi="Calibri" w:cs="Times New Roman"/>
                <w:b/>
                <w:color w:val="595959" w:themeColor="text1" w:themeTint="A6"/>
                <w:sz w:val="18"/>
                <w:szCs w:val="18"/>
                <w:lang w:val="en-US" w:eastAsia="el-GR"/>
              </w:rPr>
            </w:pPr>
            <w:r w:rsidRPr="00575A7E">
              <w:rPr>
                <w:rFonts w:ascii="Calibri" w:eastAsia="Times New Roman" w:hAnsi="Calibri" w:cs="Times New Roman"/>
                <w:b/>
                <w:color w:val="595959" w:themeColor="text1" w:themeTint="A6"/>
                <w:sz w:val="18"/>
                <w:szCs w:val="18"/>
                <w:lang w:val="en-US" w:eastAsia="el-GR"/>
              </w:rPr>
              <w:t>- 447</w:t>
            </w:r>
          </w:p>
        </w:tc>
      </w:tr>
      <w:tr w:rsidR="007C3A64" w:rsidRPr="00575A7E" w14:paraId="27AB63A2" w14:textId="77777777" w:rsidTr="000E6E29">
        <w:trPr>
          <w:trHeight w:val="300"/>
          <w:jc w:val="center"/>
        </w:trPr>
        <w:tc>
          <w:tcPr>
            <w:tcW w:w="6036" w:type="dxa"/>
            <w:gridSpan w:val="4"/>
            <w:tcBorders>
              <w:top w:val="single" w:sz="4" w:space="0" w:color="auto"/>
              <w:left w:val="nil"/>
              <w:right w:val="nil"/>
            </w:tcBorders>
            <w:vAlign w:val="center"/>
          </w:tcPr>
          <w:p w14:paraId="77D85EAA" w14:textId="77777777" w:rsidR="007C3A64" w:rsidRPr="00575A7E" w:rsidRDefault="007C3A64" w:rsidP="003B1BE9">
            <w:pPr>
              <w:spacing w:after="0" w:line="276" w:lineRule="auto"/>
              <w:jc w:val="both"/>
              <w:rPr>
                <w:rFonts w:ascii="Calibri" w:eastAsia="Times New Roman" w:hAnsi="Calibri" w:cs="Times New Roman"/>
                <w:bCs/>
                <w:color w:val="595959" w:themeColor="text1" w:themeTint="A6"/>
                <w:sz w:val="16"/>
                <w:szCs w:val="16"/>
                <w:lang w:eastAsia="el-GR"/>
              </w:rPr>
            </w:pPr>
            <w:r w:rsidRPr="00575A7E">
              <w:rPr>
                <w:rFonts w:ascii="Calibri" w:eastAsia="Times New Roman" w:hAnsi="Calibri" w:cs="Times New Roman"/>
                <w:bCs/>
                <w:color w:val="595959" w:themeColor="text1" w:themeTint="A6"/>
                <w:sz w:val="16"/>
                <w:szCs w:val="16"/>
                <w:lang w:eastAsia="el-GR"/>
              </w:rPr>
              <w:t>Σημείωση: Οι μικρές αποκλίσεις στα σύνολα οφείλονται σε στρογγυλοποιήσεις.</w:t>
            </w:r>
          </w:p>
          <w:p w14:paraId="42B4A85A" w14:textId="77777777" w:rsidR="007C3A64" w:rsidRPr="00575A7E" w:rsidRDefault="007C3A64" w:rsidP="003B1BE9">
            <w:pPr>
              <w:spacing w:after="0" w:line="276" w:lineRule="auto"/>
              <w:rPr>
                <w:rFonts w:ascii="Calibri" w:eastAsia="Times New Roman" w:hAnsi="Calibri" w:cs="Times New Roman"/>
                <w:b/>
                <w:color w:val="595959" w:themeColor="text1" w:themeTint="A6"/>
                <w:lang w:eastAsia="el-GR"/>
              </w:rPr>
            </w:pPr>
            <w:r w:rsidRPr="00575A7E">
              <w:rPr>
                <w:rFonts w:ascii="Calibri" w:eastAsia="Times New Roman" w:hAnsi="Calibri" w:cs="Times New Roman"/>
                <w:bCs/>
                <w:color w:val="595959" w:themeColor="text1" w:themeTint="A6"/>
                <w:sz w:val="16"/>
                <w:szCs w:val="16"/>
                <w:lang w:eastAsia="el-GR"/>
              </w:rPr>
              <w:t>Πηγή: Υπουργείο Εργασίας και Κοινωνικών Υποθέσεω</w:t>
            </w:r>
            <w:r w:rsidRPr="00765A45">
              <w:rPr>
                <w:rFonts w:ascii="Calibri" w:eastAsia="Times New Roman" w:hAnsi="Calibri" w:cs="Times New Roman"/>
                <w:bCs/>
                <w:color w:val="595959" w:themeColor="text1" w:themeTint="A6"/>
                <w:sz w:val="16"/>
                <w:szCs w:val="16"/>
                <w:lang w:eastAsia="el-GR"/>
              </w:rPr>
              <w:t>ν</w:t>
            </w:r>
            <w:r w:rsidR="00765A45" w:rsidRPr="00DD1444">
              <w:rPr>
                <w:rFonts w:ascii="Calibri" w:eastAsia="Times New Roman" w:hAnsi="Calibri" w:cs="Times New Roman"/>
                <w:bCs/>
                <w:color w:val="595959" w:themeColor="text1" w:themeTint="A6"/>
                <w:sz w:val="16"/>
                <w:szCs w:val="16"/>
                <w:lang w:eastAsia="el-GR"/>
              </w:rPr>
              <w:t>.</w:t>
            </w:r>
          </w:p>
        </w:tc>
      </w:tr>
    </w:tbl>
    <w:p w14:paraId="7519F6A5" w14:textId="77777777" w:rsidR="004634F3" w:rsidRDefault="004634F3" w:rsidP="003B1BE9">
      <w:pPr>
        <w:spacing w:after="0" w:line="276" w:lineRule="auto"/>
        <w:jc w:val="both"/>
        <w:rPr>
          <w:rFonts w:ascii="Calibri" w:eastAsia="Calibri" w:hAnsi="Calibri" w:cs="Times New Roman"/>
          <w:color w:val="595959" w:themeColor="text1" w:themeTint="A6"/>
        </w:rPr>
      </w:pPr>
    </w:p>
    <w:p w14:paraId="00180C02" w14:textId="70B5C8C4" w:rsidR="007C3A64" w:rsidRPr="00575A7E" w:rsidRDefault="007C3A64"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Οι δαπάνες για</w:t>
      </w:r>
      <w:bookmarkEnd w:id="140"/>
      <w:r w:rsidRPr="00575A7E">
        <w:rPr>
          <w:rFonts w:ascii="Calibri" w:eastAsia="Calibri" w:hAnsi="Calibri" w:cs="Times New Roman"/>
          <w:color w:val="595959" w:themeColor="text1" w:themeTint="A6"/>
        </w:rPr>
        <w:t xml:space="preserve"> την καταβολή συντάξεων (κύριων και επικουρικών) είναι αυξημένες κατά 572 εκατ. ευρώ, οι άλλες παροχές και εφάπαξ μειωμένες κατά περίπου 988 εκατ. ευρώ</w:t>
      </w:r>
      <w:r w:rsidRPr="00575A7E">
        <w:rPr>
          <w:color w:val="595959" w:themeColor="text1" w:themeTint="A6"/>
          <w:vertAlign w:val="superscript"/>
        </w:rPr>
        <w:footnoteReference w:id="8"/>
      </w:r>
      <w:r w:rsidRPr="00575A7E">
        <w:rPr>
          <w:rFonts w:ascii="Calibri" w:eastAsia="Calibri" w:hAnsi="Calibri" w:cs="Times New Roman"/>
          <w:color w:val="595959" w:themeColor="text1" w:themeTint="A6"/>
        </w:rPr>
        <w:t xml:space="preserve"> και οι αποδόσεις προς τρίτους είναι αυξημένες κατά 340 εκατ. ευρώ. Οι άλλες δαπάνες </w:t>
      </w:r>
      <w:r w:rsidRPr="00575A7E">
        <w:rPr>
          <w:rFonts w:ascii="Calibri" w:eastAsia="Calibri" w:hAnsi="Calibri" w:cs="Times New Roman"/>
          <w:color w:val="595959" w:themeColor="text1" w:themeTint="A6"/>
        </w:rPr>
        <w:lastRenderedPageBreak/>
        <w:t xml:space="preserve">εμφανίζονται αυξημένες κατά 1.266 εκατ. ευρώ, εξαιτίας, κατά κύριο λόγο, </w:t>
      </w:r>
      <w:r w:rsidR="008439F2">
        <w:rPr>
          <w:rFonts w:ascii="Calibri" w:eastAsia="Calibri" w:hAnsi="Calibri" w:cs="Times New Roman"/>
          <w:color w:val="595959" w:themeColor="text1" w:themeTint="A6"/>
        </w:rPr>
        <w:t>της</w:t>
      </w:r>
      <w:r w:rsidRPr="00575A7E">
        <w:rPr>
          <w:rFonts w:ascii="Calibri" w:eastAsia="Calibri" w:hAnsi="Calibri" w:cs="Times New Roman"/>
          <w:color w:val="595959" w:themeColor="text1" w:themeTint="A6"/>
        </w:rPr>
        <w:t xml:space="preserve"> δαπάνη</w:t>
      </w:r>
      <w:r w:rsidR="008439F2">
        <w:rPr>
          <w:rFonts w:ascii="Calibri" w:eastAsia="Calibri" w:hAnsi="Calibri" w:cs="Times New Roman"/>
          <w:color w:val="595959" w:themeColor="text1" w:themeTint="A6"/>
        </w:rPr>
        <w:t>ς</w:t>
      </w:r>
      <w:r w:rsidRPr="00575A7E">
        <w:rPr>
          <w:rFonts w:ascii="Calibri" w:eastAsia="Calibri" w:hAnsi="Calibri" w:cs="Times New Roman"/>
          <w:color w:val="595959" w:themeColor="text1" w:themeTint="A6"/>
        </w:rPr>
        <w:t xml:space="preserve"> περίπου 1.197 εκατ. ευρώ για την καταβολή αναδρομικών κατά το 4ο τρίμηνο 2020.</w:t>
      </w:r>
    </w:p>
    <w:p w14:paraId="35916A24" w14:textId="77777777" w:rsidR="007C3A64" w:rsidRPr="00575A7E" w:rsidRDefault="007C3A64"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Στο τέλος Δεκεμβρίου 2020</w:t>
      </w:r>
      <w:r w:rsidR="001F42F3">
        <w:rPr>
          <w:rFonts w:ascii="Calibri" w:eastAsia="Calibri" w:hAnsi="Calibri" w:cs="Times New Roman"/>
          <w:color w:val="595959" w:themeColor="text1" w:themeTint="A6"/>
        </w:rPr>
        <w:t>,</w:t>
      </w:r>
      <w:r w:rsidRPr="00575A7E">
        <w:rPr>
          <w:rFonts w:ascii="Calibri" w:eastAsia="Calibri" w:hAnsi="Calibri" w:cs="Times New Roman"/>
          <w:color w:val="595959" w:themeColor="text1" w:themeTint="A6"/>
        </w:rPr>
        <w:t xml:space="preserve"> ο ΕΦΚΑ κατέβαλε 2.711.870 συντάξεις σε 2.446.506 συνταξιούχους, αριθμός αυξημένος σε σχέση με το τέλος του 3</w:t>
      </w:r>
      <w:r w:rsidRPr="00575A7E">
        <w:rPr>
          <w:rFonts w:ascii="Calibri" w:eastAsia="Calibri" w:hAnsi="Calibri" w:cs="Times New Roman"/>
          <w:color w:val="595959" w:themeColor="text1" w:themeTint="A6"/>
          <w:vertAlign w:val="superscript"/>
        </w:rPr>
        <w:t>ου</w:t>
      </w:r>
      <w:r w:rsidRPr="00575A7E">
        <w:rPr>
          <w:rFonts w:ascii="Calibri" w:eastAsia="Calibri" w:hAnsi="Calibri" w:cs="Times New Roman"/>
          <w:color w:val="595959" w:themeColor="text1" w:themeTint="A6"/>
        </w:rPr>
        <w:t xml:space="preserve"> τριμήνου 2020 που καταβλήθηκαν</w:t>
      </w:r>
      <w:r w:rsidR="00A26C0B">
        <w:rPr>
          <w:rFonts w:ascii="Calibri" w:eastAsia="Calibri" w:hAnsi="Calibri" w:cs="Times New Roman"/>
          <w:color w:val="595959" w:themeColor="text1" w:themeTint="A6"/>
        </w:rPr>
        <w:t xml:space="preserve"> </w:t>
      </w:r>
      <w:r w:rsidRPr="00575A7E">
        <w:rPr>
          <w:rFonts w:ascii="Calibri" w:eastAsia="Calibri" w:hAnsi="Calibri" w:cs="Times New Roman"/>
          <w:color w:val="595959" w:themeColor="text1" w:themeTint="A6"/>
        </w:rPr>
        <w:t>2.705.684 συντάξεις (σε 2.451.472 συνταξιούχους), αλλά μειωμένος συγκρινόμενος με τον Δεκέμβριο 2019 (που καταβλήθηκαν 2.722.617 συντάξεις σε 2.493.079 συνταξιούχους).</w:t>
      </w:r>
    </w:p>
    <w:bookmarkEnd w:id="139"/>
    <w:p w14:paraId="26A1B083" w14:textId="77777777" w:rsidR="007C3A64" w:rsidRPr="00575A7E" w:rsidRDefault="007C3A64" w:rsidP="003B1BE9">
      <w:pPr>
        <w:spacing w:after="0"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Σύμφωνα με τα στοιχεία που έθεσε στη διάθεσή μας ο ΕΦΚΑ, ο συνολικός αριθμός εκκρεμών αιτήσεων συνταξιοδότησης</w:t>
      </w:r>
      <w:r w:rsidRPr="00575A7E">
        <w:rPr>
          <w:rFonts w:ascii="Calibri" w:eastAsia="Calibri" w:hAnsi="Calibri" w:cs="Times New Roman"/>
          <w:color w:val="595959" w:themeColor="text1" w:themeTint="A6"/>
          <w:vertAlign w:val="superscript"/>
        </w:rPr>
        <w:footnoteReference w:id="9"/>
      </w:r>
      <w:r w:rsidRPr="00575A7E">
        <w:rPr>
          <w:rFonts w:ascii="Calibri" w:eastAsia="Calibri" w:hAnsi="Calibri" w:cs="Times New Roman"/>
          <w:color w:val="595959" w:themeColor="text1" w:themeTint="A6"/>
        </w:rPr>
        <w:t xml:space="preserve"> μειώθηκε από 172.318 στο τέλος του 3ου τριμήνου 2020 (και εκτιμώμενη δαπάνη</w:t>
      </w:r>
      <w:r w:rsidRPr="00575A7E">
        <w:rPr>
          <w:rFonts w:ascii="Calibri" w:eastAsia="Calibri" w:hAnsi="Calibri" w:cs="Times New Roman"/>
          <w:color w:val="595959" w:themeColor="text1" w:themeTint="A6"/>
          <w:vertAlign w:val="superscript"/>
        </w:rPr>
        <w:footnoteReference w:id="10"/>
      </w:r>
      <w:r w:rsidRPr="00575A7E">
        <w:rPr>
          <w:rFonts w:ascii="Calibri" w:eastAsia="Calibri" w:hAnsi="Calibri" w:cs="Times New Roman"/>
          <w:color w:val="595959" w:themeColor="text1" w:themeTint="A6"/>
        </w:rPr>
        <w:t xml:space="preserve"> περίπου 666 εκατ. ευρώ) σε 152.949 (και εκτιμώμενη δαπάνη περίπου 584 εκατ. ευρώ) στο τέλος του 4ου τριμήνου 2020. Οι ληξιπρόθεσμες (εκκρεμείς πάνω από 90 ημέρες) αιτήσεις συνταξιοδότησης μειώθηκαν από 138.851 στο τέλος Σεπτεμβρίου 2020 (εκτιμώμενη δαπάνη περίπου 653,5 εκατ. ευρώ) σε 121.863 στο τέλος Δεκεμβρίου 2020 (εκτιμώμενη δαπάνη περίπου 565 εκατ. ευρώ). Στον επόμενο πίνακα φαίνεται η εξέλιξη των εκκρεμών και των ληξιπρόθεσμων αιτήσεων συνταξιοδότησης στο τέλος κάθε τριμήνου για τα έτη 2019 και 2020, καθώς και η σχετική εκτιμώμενη δαπάνη</w:t>
      </w:r>
      <w:r w:rsidRPr="00575A7E">
        <w:rPr>
          <w:rStyle w:val="a5"/>
          <w:rFonts w:ascii="Calibri" w:eastAsia="Calibri" w:hAnsi="Calibri" w:cs="Times New Roman"/>
          <w:color w:val="595959" w:themeColor="text1" w:themeTint="A6"/>
        </w:rPr>
        <w:footnoteReference w:id="11"/>
      </w:r>
      <w:r w:rsidRPr="00575A7E">
        <w:rPr>
          <w:rFonts w:ascii="Calibri" w:eastAsia="Calibri" w:hAnsi="Calibri" w:cs="Times New Roman"/>
          <w:color w:val="595959" w:themeColor="text1" w:themeTint="A6"/>
        </w:rPr>
        <w:t>.</w:t>
      </w:r>
    </w:p>
    <w:p w14:paraId="23FD5301" w14:textId="77777777" w:rsidR="007C3A64" w:rsidRPr="00575A7E" w:rsidRDefault="007C3A64" w:rsidP="003B1BE9">
      <w:pPr>
        <w:spacing w:after="0" w:line="276" w:lineRule="auto"/>
        <w:jc w:val="both"/>
        <w:rPr>
          <w:rFonts w:ascii="Calibri" w:eastAsia="Calibri" w:hAnsi="Calibri" w:cs="Times New Roman"/>
          <w:color w:val="FF0000"/>
        </w:rPr>
      </w:pPr>
    </w:p>
    <w:p w14:paraId="486616CB" w14:textId="5F2F6199" w:rsidR="007C3A64" w:rsidRPr="00575A7E" w:rsidRDefault="00D960BC" w:rsidP="00D960BC">
      <w:pPr>
        <w:pStyle w:val="ae"/>
        <w:jc w:val="center"/>
        <w:rPr>
          <w:rFonts w:ascii="Calibri" w:eastAsia="Calibri" w:hAnsi="Calibri" w:cs="Times New Roman"/>
          <w:i w:val="0"/>
          <w:iCs w:val="0"/>
          <w:color w:val="595959" w:themeColor="text1" w:themeTint="A6"/>
        </w:rPr>
      </w:pPr>
      <w:bookmarkStart w:id="142" w:name="_Toc56610199"/>
      <w:bookmarkStart w:id="143" w:name="_Toc67396688"/>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9</w:t>
      </w:r>
      <w:r w:rsidR="0096217C">
        <w:rPr>
          <w:noProof/>
        </w:rPr>
        <w:fldChar w:fldCharType="end"/>
      </w:r>
      <w:r w:rsidR="007C3A64" w:rsidRPr="00575A7E">
        <w:rPr>
          <w:rFonts w:ascii="Calibri" w:eastAsia="Calibri" w:hAnsi="Calibri" w:cs="Times New Roman"/>
          <w:color w:val="595959" w:themeColor="text1" w:themeTint="A6"/>
        </w:rPr>
        <w:t xml:space="preserve"> Αριθμός </w:t>
      </w:r>
      <w:r w:rsidR="00CB2429">
        <w:rPr>
          <w:rFonts w:ascii="Calibri" w:eastAsia="Calibri" w:hAnsi="Calibri" w:cs="Times New Roman"/>
          <w:color w:val="595959" w:themeColor="text1" w:themeTint="A6"/>
        </w:rPr>
        <w:t xml:space="preserve">και εκτιμώμενα ποσά </w:t>
      </w:r>
      <w:r w:rsidR="007C3A64" w:rsidRPr="00575A7E">
        <w:rPr>
          <w:rFonts w:ascii="Calibri" w:eastAsia="Calibri" w:hAnsi="Calibri" w:cs="Times New Roman"/>
          <w:color w:val="595959" w:themeColor="text1" w:themeTint="A6"/>
        </w:rPr>
        <w:t>εκκρεμών και ληξιπρόθεσμων αιτήσεων συνταξιοδότησης στο τέλος κάθε τρίμηνου κατά τα έτη 2019-2020 (ποσά σε ευρώ)</w:t>
      </w:r>
      <w:bookmarkEnd w:id="142"/>
      <w:bookmarkEnd w:id="143"/>
    </w:p>
    <w:tbl>
      <w:tblPr>
        <w:tblW w:w="7513" w:type="dxa"/>
        <w:jc w:val="center"/>
        <w:tblLayout w:type="fixed"/>
        <w:tblLook w:val="04A0" w:firstRow="1" w:lastRow="0" w:firstColumn="1" w:lastColumn="0" w:noHBand="0" w:noVBand="1"/>
      </w:tblPr>
      <w:tblGrid>
        <w:gridCol w:w="1418"/>
        <w:gridCol w:w="1134"/>
        <w:gridCol w:w="1843"/>
        <w:gridCol w:w="283"/>
        <w:gridCol w:w="1276"/>
        <w:gridCol w:w="1559"/>
      </w:tblGrid>
      <w:tr w:rsidR="007C3A64" w:rsidRPr="00575A7E" w14:paraId="3CF8B667" w14:textId="77777777" w:rsidTr="000E6E29">
        <w:trPr>
          <w:trHeight w:val="300"/>
          <w:jc w:val="center"/>
        </w:trPr>
        <w:tc>
          <w:tcPr>
            <w:tcW w:w="1418" w:type="dxa"/>
            <w:tcBorders>
              <w:top w:val="nil"/>
              <w:left w:val="nil"/>
              <w:bottom w:val="single" w:sz="4" w:space="0" w:color="auto"/>
              <w:right w:val="nil"/>
            </w:tcBorders>
            <w:vAlign w:val="center"/>
            <w:hideMark/>
          </w:tcPr>
          <w:p w14:paraId="0F8543E3" w14:textId="77777777" w:rsidR="007C3A64" w:rsidRPr="00575A7E" w:rsidRDefault="007C3A64" w:rsidP="003B1BE9">
            <w:pPr>
              <w:spacing w:after="200" w:line="276" w:lineRule="auto"/>
              <w:rPr>
                <w:rFonts w:ascii="Calibri" w:eastAsia="Calibri" w:hAnsi="Calibri" w:cs="Times New Roman"/>
                <w:color w:val="595959" w:themeColor="text1" w:themeTint="A6"/>
                <w:sz w:val="16"/>
                <w:szCs w:val="16"/>
              </w:rPr>
            </w:pPr>
          </w:p>
        </w:tc>
        <w:tc>
          <w:tcPr>
            <w:tcW w:w="1134" w:type="dxa"/>
            <w:tcBorders>
              <w:top w:val="nil"/>
              <w:left w:val="nil"/>
              <w:bottom w:val="single" w:sz="4" w:space="0" w:color="auto"/>
              <w:right w:val="nil"/>
            </w:tcBorders>
            <w:noWrap/>
            <w:vAlign w:val="center"/>
          </w:tcPr>
          <w:p w14:paraId="068A22A7"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6"/>
                <w:szCs w:val="16"/>
                <w:lang w:eastAsia="el-GR"/>
              </w:rPr>
            </w:pPr>
            <w:r w:rsidRPr="00575A7E">
              <w:rPr>
                <w:rFonts w:ascii="Calibri" w:eastAsia="Times New Roman" w:hAnsi="Calibri" w:cs="Times New Roman"/>
                <w:color w:val="595959" w:themeColor="text1" w:themeTint="A6"/>
                <w:sz w:val="18"/>
                <w:szCs w:val="18"/>
                <w:lang w:eastAsia="el-GR"/>
              </w:rPr>
              <w:t>Εκκρεμείς συντάξεις</w:t>
            </w:r>
          </w:p>
        </w:tc>
        <w:tc>
          <w:tcPr>
            <w:tcW w:w="1843" w:type="dxa"/>
            <w:tcBorders>
              <w:top w:val="nil"/>
              <w:left w:val="nil"/>
              <w:bottom w:val="single" w:sz="4" w:space="0" w:color="auto"/>
              <w:right w:val="nil"/>
            </w:tcBorders>
            <w:vAlign w:val="center"/>
          </w:tcPr>
          <w:p w14:paraId="7C600335"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6"/>
                <w:szCs w:val="16"/>
                <w:lang w:eastAsia="el-GR"/>
              </w:rPr>
            </w:pPr>
            <w:r w:rsidRPr="00575A7E">
              <w:rPr>
                <w:rFonts w:ascii="Calibri" w:eastAsia="Times New Roman" w:hAnsi="Calibri" w:cs="Times New Roman"/>
                <w:color w:val="595959" w:themeColor="text1" w:themeTint="A6"/>
                <w:sz w:val="18"/>
                <w:szCs w:val="18"/>
                <w:lang w:eastAsia="el-GR"/>
              </w:rPr>
              <w:t>Οφειλόμενο ποσό εκκρεμών συντάξεων (εκτίμηση)</w:t>
            </w:r>
          </w:p>
        </w:tc>
        <w:tc>
          <w:tcPr>
            <w:tcW w:w="283" w:type="dxa"/>
            <w:tcBorders>
              <w:top w:val="nil"/>
              <w:left w:val="nil"/>
              <w:bottom w:val="single" w:sz="4" w:space="0" w:color="auto"/>
              <w:right w:val="nil"/>
            </w:tcBorders>
          </w:tcPr>
          <w:p w14:paraId="0A67FE58" w14:textId="77777777" w:rsidR="007C3A64" w:rsidRPr="00575A7E" w:rsidRDefault="007C3A64" w:rsidP="003B1BE9">
            <w:pPr>
              <w:spacing w:after="0" w:line="276" w:lineRule="auto"/>
              <w:ind w:right="-136"/>
              <w:jc w:val="center"/>
              <w:rPr>
                <w:rFonts w:ascii="Calibri" w:eastAsia="Times New Roman" w:hAnsi="Calibri" w:cs="Times New Roman"/>
                <w:b/>
                <w:color w:val="595959" w:themeColor="text1" w:themeTint="A6"/>
                <w:sz w:val="16"/>
                <w:szCs w:val="16"/>
                <w:lang w:eastAsia="el-GR"/>
              </w:rPr>
            </w:pPr>
          </w:p>
        </w:tc>
        <w:tc>
          <w:tcPr>
            <w:tcW w:w="1276" w:type="dxa"/>
            <w:tcBorders>
              <w:top w:val="nil"/>
              <w:left w:val="nil"/>
              <w:bottom w:val="single" w:sz="4" w:space="0" w:color="auto"/>
              <w:right w:val="nil"/>
            </w:tcBorders>
            <w:vAlign w:val="center"/>
          </w:tcPr>
          <w:p w14:paraId="529533A2" w14:textId="77777777" w:rsidR="007C3A64" w:rsidRPr="00575A7E" w:rsidRDefault="007C3A64" w:rsidP="00CB2429">
            <w:pPr>
              <w:spacing w:after="0" w:line="276" w:lineRule="auto"/>
              <w:ind w:hanging="108"/>
              <w:jc w:val="center"/>
              <w:rPr>
                <w:rFonts w:ascii="Calibri" w:eastAsia="Times New Roman" w:hAnsi="Calibri" w:cs="Times New Roman"/>
                <w:b/>
                <w:color w:val="595959" w:themeColor="text1" w:themeTint="A6"/>
                <w:sz w:val="16"/>
                <w:szCs w:val="16"/>
                <w:lang w:eastAsia="el-GR"/>
              </w:rPr>
            </w:pPr>
            <w:r w:rsidRPr="00575A7E">
              <w:rPr>
                <w:rFonts w:ascii="Calibri" w:eastAsia="Times New Roman" w:hAnsi="Calibri" w:cs="Times New Roman"/>
                <w:color w:val="595959" w:themeColor="text1" w:themeTint="A6"/>
                <w:sz w:val="18"/>
                <w:szCs w:val="18"/>
                <w:lang w:eastAsia="el-GR"/>
              </w:rPr>
              <w:t>Ληξιπρόθεσμ</w:t>
            </w:r>
            <w:r w:rsidR="00CB2429">
              <w:rPr>
                <w:rFonts w:ascii="Calibri" w:eastAsia="Times New Roman" w:hAnsi="Calibri" w:cs="Times New Roman"/>
                <w:color w:val="595959" w:themeColor="text1" w:themeTint="A6"/>
                <w:sz w:val="18"/>
                <w:szCs w:val="18"/>
                <w:lang w:eastAsia="el-GR"/>
              </w:rPr>
              <w:t>ες</w:t>
            </w:r>
            <w:r w:rsidRPr="00575A7E">
              <w:rPr>
                <w:rFonts w:ascii="Calibri" w:eastAsia="Times New Roman" w:hAnsi="Calibri" w:cs="Times New Roman"/>
                <w:color w:val="595959" w:themeColor="text1" w:themeTint="A6"/>
                <w:sz w:val="18"/>
                <w:szCs w:val="18"/>
                <w:lang w:eastAsia="el-GR"/>
              </w:rPr>
              <w:t xml:space="preserve"> συντάξε</w:t>
            </w:r>
            <w:r w:rsidR="00CB2429">
              <w:rPr>
                <w:rFonts w:ascii="Calibri" w:eastAsia="Times New Roman" w:hAnsi="Calibri" w:cs="Times New Roman"/>
                <w:color w:val="595959" w:themeColor="text1" w:themeTint="A6"/>
                <w:sz w:val="18"/>
                <w:szCs w:val="18"/>
                <w:lang w:eastAsia="el-GR"/>
              </w:rPr>
              <w:t>ις</w:t>
            </w:r>
          </w:p>
        </w:tc>
        <w:tc>
          <w:tcPr>
            <w:tcW w:w="1559" w:type="dxa"/>
            <w:tcBorders>
              <w:top w:val="nil"/>
              <w:left w:val="nil"/>
              <w:bottom w:val="single" w:sz="4" w:space="0" w:color="auto"/>
              <w:right w:val="nil"/>
            </w:tcBorders>
            <w:noWrap/>
            <w:vAlign w:val="center"/>
            <w:hideMark/>
          </w:tcPr>
          <w:p w14:paraId="40EABA7F"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Οφειλόμενο ποσό ληξιπρόθεσμων συντάξεων</w:t>
            </w:r>
          </w:p>
          <w:p w14:paraId="08018284" w14:textId="77777777" w:rsidR="007C3A64" w:rsidRPr="00575A7E" w:rsidRDefault="007C3A64" w:rsidP="003B1BE9">
            <w:pPr>
              <w:spacing w:after="0" w:line="276" w:lineRule="auto"/>
              <w:jc w:val="center"/>
              <w:rPr>
                <w:rFonts w:ascii="Calibri" w:eastAsia="Times New Roman" w:hAnsi="Calibri" w:cs="Times New Roman"/>
                <w:b/>
                <w:color w:val="595959" w:themeColor="text1" w:themeTint="A6"/>
                <w:sz w:val="16"/>
                <w:szCs w:val="16"/>
                <w:lang w:eastAsia="el-GR"/>
              </w:rPr>
            </w:pPr>
            <w:r w:rsidRPr="00575A7E">
              <w:rPr>
                <w:rFonts w:ascii="Calibri" w:eastAsia="Times New Roman" w:hAnsi="Calibri" w:cs="Times New Roman"/>
                <w:color w:val="595959" w:themeColor="text1" w:themeTint="A6"/>
                <w:sz w:val="18"/>
                <w:szCs w:val="18"/>
                <w:lang w:eastAsia="el-GR"/>
              </w:rPr>
              <w:t>(εκτίμηση)</w:t>
            </w:r>
          </w:p>
        </w:tc>
      </w:tr>
      <w:tr w:rsidR="007C3A64" w:rsidRPr="00575A7E" w14:paraId="426C30A3" w14:textId="77777777" w:rsidTr="000E6E29">
        <w:trPr>
          <w:trHeight w:val="269"/>
          <w:jc w:val="center"/>
        </w:trPr>
        <w:tc>
          <w:tcPr>
            <w:tcW w:w="1418" w:type="dxa"/>
            <w:vAlign w:val="center"/>
            <w:hideMark/>
          </w:tcPr>
          <w:p w14:paraId="2C7A6CF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2019</w:t>
            </w:r>
          </w:p>
        </w:tc>
        <w:tc>
          <w:tcPr>
            <w:tcW w:w="1134" w:type="dxa"/>
            <w:noWrap/>
            <w:vAlign w:val="center"/>
          </w:tcPr>
          <w:p w14:paraId="6FB296D1"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123.129</w:t>
            </w:r>
          </w:p>
        </w:tc>
        <w:tc>
          <w:tcPr>
            <w:tcW w:w="1843" w:type="dxa"/>
            <w:vAlign w:val="center"/>
          </w:tcPr>
          <w:p w14:paraId="3150C96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438.359.576</w:t>
            </w:r>
          </w:p>
        </w:tc>
        <w:tc>
          <w:tcPr>
            <w:tcW w:w="283" w:type="dxa"/>
            <w:vAlign w:val="center"/>
          </w:tcPr>
          <w:p w14:paraId="034A9F61"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60D0F97E"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91.252</w:t>
            </w:r>
          </w:p>
        </w:tc>
        <w:tc>
          <w:tcPr>
            <w:tcW w:w="1559" w:type="dxa"/>
            <w:shd w:val="clear" w:color="auto" w:fill="auto"/>
            <w:noWrap/>
            <w:vAlign w:val="center"/>
          </w:tcPr>
          <w:p w14:paraId="4C004BE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427.131.259</w:t>
            </w:r>
          </w:p>
        </w:tc>
      </w:tr>
      <w:tr w:rsidR="007C3A64" w:rsidRPr="00575A7E" w14:paraId="74A5ED09" w14:textId="77777777" w:rsidTr="000E6E29">
        <w:trPr>
          <w:trHeight w:val="480"/>
          <w:jc w:val="center"/>
        </w:trPr>
        <w:tc>
          <w:tcPr>
            <w:tcW w:w="1418" w:type="dxa"/>
            <w:vAlign w:val="center"/>
            <w:hideMark/>
          </w:tcPr>
          <w:p w14:paraId="4B92A9A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2</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2019</w:t>
            </w:r>
          </w:p>
        </w:tc>
        <w:tc>
          <w:tcPr>
            <w:tcW w:w="1134" w:type="dxa"/>
            <w:noWrap/>
            <w:vAlign w:val="center"/>
          </w:tcPr>
          <w:p w14:paraId="5482DCE8"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133.835</w:t>
            </w:r>
          </w:p>
        </w:tc>
        <w:tc>
          <w:tcPr>
            <w:tcW w:w="1843" w:type="dxa"/>
            <w:vAlign w:val="center"/>
          </w:tcPr>
          <w:p w14:paraId="3B619270"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468.102.689</w:t>
            </w:r>
          </w:p>
        </w:tc>
        <w:tc>
          <w:tcPr>
            <w:tcW w:w="283" w:type="dxa"/>
            <w:vAlign w:val="center"/>
          </w:tcPr>
          <w:p w14:paraId="293BAA95"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710BCC1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102.138</w:t>
            </w:r>
          </w:p>
        </w:tc>
        <w:tc>
          <w:tcPr>
            <w:tcW w:w="1559" w:type="dxa"/>
            <w:shd w:val="clear" w:color="auto" w:fill="auto"/>
            <w:noWrap/>
            <w:vAlign w:val="center"/>
          </w:tcPr>
          <w:p w14:paraId="6CA0ECB6"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456.526.698</w:t>
            </w:r>
          </w:p>
        </w:tc>
      </w:tr>
      <w:tr w:rsidR="007C3A64" w:rsidRPr="00575A7E" w14:paraId="75F5796F" w14:textId="77777777" w:rsidTr="000E6E29">
        <w:trPr>
          <w:trHeight w:val="300"/>
          <w:jc w:val="center"/>
        </w:trPr>
        <w:tc>
          <w:tcPr>
            <w:tcW w:w="1418" w:type="dxa"/>
            <w:vAlign w:val="center"/>
            <w:hideMark/>
          </w:tcPr>
          <w:p w14:paraId="1C837A4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3</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2019</w:t>
            </w:r>
          </w:p>
        </w:tc>
        <w:tc>
          <w:tcPr>
            <w:tcW w:w="1134" w:type="dxa"/>
            <w:noWrap/>
            <w:vAlign w:val="center"/>
          </w:tcPr>
          <w:p w14:paraId="7AF65040"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150.398</w:t>
            </w:r>
          </w:p>
        </w:tc>
        <w:tc>
          <w:tcPr>
            <w:tcW w:w="1843" w:type="dxa"/>
            <w:vAlign w:val="center"/>
          </w:tcPr>
          <w:p w14:paraId="5671A760"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535.354.145</w:t>
            </w:r>
          </w:p>
        </w:tc>
        <w:tc>
          <w:tcPr>
            <w:tcW w:w="283" w:type="dxa"/>
            <w:vAlign w:val="center"/>
          </w:tcPr>
          <w:p w14:paraId="612EFF1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62FD00CD"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115.443</w:t>
            </w:r>
          </w:p>
        </w:tc>
        <w:tc>
          <w:tcPr>
            <w:tcW w:w="1559" w:type="dxa"/>
            <w:shd w:val="clear" w:color="auto" w:fill="auto"/>
            <w:noWrap/>
            <w:vAlign w:val="center"/>
          </w:tcPr>
          <w:p w14:paraId="1F14A47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522.770.478</w:t>
            </w:r>
          </w:p>
        </w:tc>
      </w:tr>
      <w:tr w:rsidR="007C3A64" w:rsidRPr="00575A7E" w14:paraId="2854D104" w14:textId="77777777" w:rsidTr="000E6E29">
        <w:trPr>
          <w:trHeight w:val="517"/>
          <w:jc w:val="center"/>
        </w:trPr>
        <w:tc>
          <w:tcPr>
            <w:tcW w:w="1418" w:type="dxa"/>
            <w:tcBorders>
              <w:bottom w:val="single" w:sz="4" w:space="0" w:color="auto"/>
            </w:tcBorders>
            <w:vAlign w:val="center"/>
            <w:hideMark/>
          </w:tcPr>
          <w:p w14:paraId="6540973A"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2019</w:t>
            </w:r>
          </w:p>
        </w:tc>
        <w:tc>
          <w:tcPr>
            <w:tcW w:w="1134" w:type="dxa"/>
            <w:tcBorders>
              <w:bottom w:val="single" w:sz="4" w:space="0" w:color="auto"/>
            </w:tcBorders>
            <w:noWrap/>
            <w:vAlign w:val="center"/>
          </w:tcPr>
          <w:p w14:paraId="79F6684E"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160.520</w:t>
            </w:r>
          </w:p>
        </w:tc>
        <w:tc>
          <w:tcPr>
            <w:tcW w:w="1843" w:type="dxa"/>
            <w:tcBorders>
              <w:bottom w:val="single" w:sz="4" w:space="0" w:color="auto"/>
            </w:tcBorders>
            <w:vAlign w:val="center"/>
          </w:tcPr>
          <w:p w14:paraId="7D0C692D"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581.024.228</w:t>
            </w:r>
          </w:p>
        </w:tc>
        <w:tc>
          <w:tcPr>
            <w:tcW w:w="283" w:type="dxa"/>
            <w:tcBorders>
              <w:bottom w:val="single" w:sz="4" w:space="0" w:color="auto"/>
            </w:tcBorders>
            <w:vAlign w:val="center"/>
          </w:tcPr>
          <w:p w14:paraId="602BD27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tcBorders>
              <w:bottom w:val="single" w:sz="4" w:space="0" w:color="auto"/>
            </w:tcBorders>
            <w:shd w:val="clear" w:color="auto" w:fill="auto"/>
            <w:vAlign w:val="center"/>
          </w:tcPr>
          <w:p w14:paraId="0C360776"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123.877</w:t>
            </w:r>
          </w:p>
        </w:tc>
        <w:tc>
          <w:tcPr>
            <w:tcW w:w="1559" w:type="dxa"/>
            <w:tcBorders>
              <w:bottom w:val="single" w:sz="4" w:space="0" w:color="auto"/>
            </w:tcBorders>
            <w:shd w:val="clear" w:color="auto" w:fill="auto"/>
            <w:noWrap/>
            <w:vAlign w:val="center"/>
          </w:tcPr>
          <w:p w14:paraId="0FC8E06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566.244.926</w:t>
            </w:r>
          </w:p>
        </w:tc>
      </w:tr>
      <w:tr w:rsidR="007C3A64" w:rsidRPr="00575A7E" w14:paraId="06C167A3" w14:textId="77777777" w:rsidTr="000E6E29">
        <w:trPr>
          <w:trHeight w:val="269"/>
          <w:jc w:val="center"/>
        </w:trPr>
        <w:tc>
          <w:tcPr>
            <w:tcW w:w="1418" w:type="dxa"/>
            <w:tcBorders>
              <w:top w:val="single" w:sz="4" w:space="0" w:color="auto"/>
            </w:tcBorders>
            <w:vAlign w:val="center"/>
            <w:hideMark/>
          </w:tcPr>
          <w:p w14:paraId="58E34FE2" w14:textId="77777777" w:rsidR="007C3A64" w:rsidRPr="00575A7E" w:rsidRDefault="007C3A64" w:rsidP="003B1BE9">
            <w:pPr>
              <w:spacing w:after="0" w:line="276" w:lineRule="auto"/>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2020</w:t>
            </w:r>
          </w:p>
        </w:tc>
        <w:tc>
          <w:tcPr>
            <w:tcW w:w="1134" w:type="dxa"/>
            <w:tcBorders>
              <w:top w:val="single" w:sz="4" w:space="0" w:color="auto"/>
            </w:tcBorders>
            <w:noWrap/>
            <w:vAlign w:val="center"/>
          </w:tcPr>
          <w:p w14:paraId="237C6B3E"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166.310</w:t>
            </w:r>
          </w:p>
        </w:tc>
        <w:tc>
          <w:tcPr>
            <w:tcW w:w="1843" w:type="dxa"/>
            <w:tcBorders>
              <w:top w:val="single" w:sz="4" w:space="0" w:color="auto"/>
            </w:tcBorders>
            <w:vAlign w:val="center"/>
          </w:tcPr>
          <w:p w14:paraId="772AF0B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623.290.457</w:t>
            </w:r>
          </w:p>
        </w:tc>
        <w:tc>
          <w:tcPr>
            <w:tcW w:w="283" w:type="dxa"/>
            <w:tcBorders>
              <w:top w:val="single" w:sz="4" w:space="0" w:color="auto"/>
            </w:tcBorders>
            <w:vAlign w:val="center"/>
          </w:tcPr>
          <w:p w14:paraId="456118A9"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tcBorders>
              <w:top w:val="single" w:sz="4" w:space="0" w:color="auto"/>
            </w:tcBorders>
            <w:shd w:val="clear" w:color="auto" w:fill="auto"/>
            <w:vAlign w:val="center"/>
          </w:tcPr>
          <w:p w14:paraId="38FBDB3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133.008</w:t>
            </w:r>
          </w:p>
        </w:tc>
        <w:tc>
          <w:tcPr>
            <w:tcW w:w="1559" w:type="dxa"/>
            <w:tcBorders>
              <w:top w:val="single" w:sz="4" w:space="0" w:color="auto"/>
            </w:tcBorders>
            <w:shd w:val="clear" w:color="auto" w:fill="auto"/>
            <w:noWrap/>
            <w:vAlign w:val="center"/>
          </w:tcPr>
          <w:p w14:paraId="3114D1CD"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610.115.770</w:t>
            </w:r>
          </w:p>
        </w:tc>
      </w:tr>
      <w:tr w:rsidR="007C3A64" w:rsidRPr="00575A7E" w14:paraId="6EBFDB44" w14:textId="77777777" w:rsidTr="000E6E29">
        <w:trPr>
          <w:trHeight w:val="480"/>
          <w:jc w:val="center"/>
        </w:trPr>
        <w:tc>
          <w:tcPr>
            <w:tcW w:w="1418" w:type="dxa"/>
            <w:vAlign w:val="center"/>
            <w:hideMark/>
          </w:tcPr>
          <w:p w14:paraId="44B19A9A"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2</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2020</w:t>
            </w:r>
          </w:p>
        </w:tc>
        <w:tc>
          <w:tcPr>
            <w:tcW w:w="1134" w:type="dxa"/>
            <w:noWrap/>
            <w:vAlign w:val="center"/>
          </w:tcPr>
          <w:p w14:paraId="6C84DD3C"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170.118</w:t>
            </w:r>
          </w:p>
        </w:tc>
        <w:tc>
          <w:tcPr>
            <w:tcW w:w="1843" w:type="dxa"/>
            <w:vAlign w:val="center"/>
          </w:tcPr>
          <w:p w14:paraId="4028381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678.496.353</w:t>
            </w:r>
          </w:p>
        </w:tc>
        <w:tc>
          <w:tcPr>
            <w:tcW w:w="283" w:type="dxa"/>
            <w:vAlign w:val="center"/>
          </w:tcPr>
          <w:p w14:paraId="61FC9668"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3222FBA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142.536</w:t>
            </w:r>
          </w:p>
        </w:tc>
        <w:tc>
          <w:tcPr>
            <w:tcW w:w="1559" w:type="dxa"/>
            <w:shd w:val="clear" w:color="auto" w:fill="auto"/>
            <w:noWrap/>
            <w:vAlign w:val="center"/>
          </w:tcPr>
          <w:p w14:paraId="031C4641"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671.012.447</w:t>
            </w:r>
          </w:p>
        </w:tc>
      </w:tr>
      <w:tr w:rsidR="007C3A64" w:rsidRPr="00575A7E" w14:paraId="3E885C7E" w14:textId="77777777" w:rsidTr="000E6E29">
        <w:trPr>
          <w:trHeight w:val="300"/>
          <w:jc w:val="center"/>
        </w:trPr>
        <w:tc>
          <w:tcPr>
            <w:tcW w:w="1418" w:type="dxa"/>
            <w:vAlign w:val="center"/>
            <w:hideMark/>
          </w:tcPr>
          <w:p w14:paraId="514BADA0"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3</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2020</w:t>
            </w:r>
          </w:p>
        </w:tc>
        <w:tc>
          <w:tcPr>
            <w:tcW w:w="1134" w:type="dxa"/>
            <w:noWrap/>
            <w:vAlign w:val="center"/>
          </w:tcPr>
          <w:p w14:paraId="5F50AF8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172.318</w:t>
            </w:r>
          </w:p>
        </w:tc>
        <w:tc>
          <w:tcPr>
            <w:tcW w:w="1843" w:type="dxa"/>
            <w:vAlign w:val="center"/>
          </w:tcPr>
          <w:p w14:paraId="356A0D02"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666.081.716</w:t>
            </w:r>
          </w:p>
        </w:tc>
        <w:tc>
          <w:tcPr>
            <w:tcW w:w="283" w:type="dxa"/>
            <w:vAlign w:val="center"/>
          </w:tcPr>
          <w:p w14:paraId="4081C617"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4D993B51"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138.851</w:t>
            </w:r>
          </w:p>
        </w:tc>
        <w:tc>
          <w:tcPr>
            <w:tcW w:w="1559" w:type="dxa"/>
            <w:shd w:val="clear" w:color="auto" w:fill="auto"/>
            <w:noWrap/>
            <w:vAlign w:val="center"/>
          </w:tcPr>
          <w:p w14:paraId="0A857FE6"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653.506.747</w:t>
            </w:r>
          </w:p>
        </w:tc>
      </w:tr>
      <w:tr w:rsidR="007C3A64" w:rsidRPr="00575A7E" w14:paraId="6E046A38" w14:textId="77777777" w:rsidTr="000E6E29">
        <w:trPr>
          <w:trHeight w:val="300"/>
          <w:jc w:val="center"/>
        </w:trPr>
        <w:tc>
          <w:tcPr>
            <w:tcW w:w="1418" w:type="dxa"/>
            <w:vAlign w:val="center"/>
          </w:tcPr>
          <w:p w14:paraId="1051219F"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4</w:t>
            </w:r>
            <w:r w:rsidRPr="00575A7E">
              <w:rPr>
                <w:rFonts w:ascii="Calibri" w:eastAsia="Times New Roman" w:hAnsi="Calibri" w:cs="Times New Roman"/>
                <w:color w:val="595959" w:themeColor="text1" w:themeTint="A6"/>
                <w:sz w:val="18"/>
                <w:szCs w:val="18"/>
                <w:vertAlign w:val="superscript"/>
                <w:lang w:eastAsia="el-GR"/>
              </w:rPr>
              <w:t>ο</w:t>
            </w:r>
            <w:r w:rsidRPr="00575A7E">
              <w:rPr>
                <w:rFonts w:ascii="Calibri" w:eastAsia="Times New Roman" w:hAnsi="Calibri" w:cs="Times New Roman"/>
                <w:color w:val="595959" w:themeColor="text1" w:themeTint="A6"/>
                <w:sz w:val="18"/>
                <w:szCs w:val="18"/>
                <w:lang w:eastAsia="el-GR"/>
              </w:rPr>
              <w:t xml:space="preserve"> Τρίμηνο 2020</w:t>
            </w:r>
          </w:p>
        </w:tc>
        <w:tc>
          <w:tcPr>
            <w:tcW w:w="1134" w:type="dxa"/>
            <w:noWrap/>
            <w:vAlign w:val="center"/>
          </w:tcPr>
          <w:p w14:paraId="13838E0E"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152.949</w:t>
            </w:r>
          </w:p>
        </w:tc>
        <w:tc>
          <w:tcPr>
            <w:tcW w:w="1843" w:type="dxa"/>
            <w:vAlign w:val="center"/>
          </w:tcPr>
          <w:p w14:paraId="38ED78E4"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583.894.949</w:t>
            </w:r>
          </w:p>
        </w:tc>
        <w:tc>
          <w:tcPr>
            <w:tcW w:w="283" w:type="dxa"/>
            <w:vAlign w:val="center"/>
          </w:tcPr>
          <w:p w14:paraId="09439973"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p>
        </w:tc>
        <w:tc>
          <w:tcPr>
            <w:tcW w:w="1276" w:type="dxa"/>
            <w:shd w:val="clear" w:color="auto" w:fill="auto"/>
            <w:vAlign w:val="center"/>
          </w:tcPr>
          <w:p w14:paraId="0162835C"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121.863</w:t>
            </w:r>
          </w:p>
        </w:tc>
        <w:tc>
          <w:tcPr>
            <w:tcW w:w="1559" w:type="dxa"/>
            <w:shd w:val="clear" w:color="auto" w:fill="auto"/>
            <w:noWrap/>
            <w:vAlign w:val="center"/>
          </w:tcPr>
          <w:p w14:paraId="3B5604D6" w14:textId="77777777" w:rsidR="007C3A64" w:rsidRPr="00575A7E" w:rsidRDefault="007C3A64" w:rsidP="003B1BE9">
            <w:pPr>
              <w:spacing w:after="0" w:line="276" w:lineRule="auto"/>
              <w:jc w:val="center"/>
              <w:rPr>
                <w:rFonts w:ascii="Calibri" w:eastAsia="Times New Roman" w:hAnsi="Calibri" w:cs="Times New Roman"/>
                <w:color w:val="595959" w:themeColor="text1" w:themeTint="A6"/>
                <w:sz w:val="18"/>
                <w:szCs w:val="18"/>
                <w:lang w:eastAsia="el-GR"/>
              </w:rPr>
            </w:pPr>
            <w:r w:rsidRPr="00575A7E">
              <w:rPr>
                <w:rFonts w:ascii="Calibri" w:eastAsia="Times New Roman" w:hAnsi="Calibri" w:cs="Times New Roman"/>
                <w:color w:val="595959" w:themeColor="text1" w:themeTint="A6"/>
                <w:sz w:val="18"/>
                <w:szCs w:val="18"/>
                <w:lang w:eastAsia="el-GR"/>
              </w:rPr>
              <w:t>564.863.554</w:t>
            </w:r>
          </w:p>
        </w:tc>
      </w:tr>
      <w:tr w:rsidR="00210255" w:rsidRPr="00575A7E" w14:paraId="57C622A0" w14:textId="77777777" w:rsidTr="00DD1444">
        <w:trPr>
          <w:trHeight w:val="192"/>
          <w:jc w:val="center"/>
        </w:trPr>
        <w:tc>
          <w:tcPr>
            <w:tcW w:w="7513" w:type="dxa"/>
            <w:gridSpan w:val="6"/>
            <w:tcBorders>
              <w:top w:val="single" w:sz="4" w:space="0" w:color="auto"/>
              <w:left w:val="nil"/>
              <w:right w:val="nil"/>
            </w:tcBorders>
          </w:tcPr>
          <w:p w14:paraId="3A6BE1E7" w14:textId="77777777" w:rsidR="00210255" w:rsidRPr="00575A7E" w:rsidRDefault="00210255" w:rsidP="003B1BE9">
            <w:pPr>
              <w:spacing w:after="0" w:line="276" w:lineRule="auto"/>
              <w:ind w:hanging="108"/>
              <w:rPr>
                <w:rFonts w:ascii="Calibri" w:eastAsia="Times New Roman" w:hAnsi="Calibri" w:cs="Times New Roman"/>
                <w:bCs/>
                <w:color w:val="595959" w:themeColor="text1" w:themeTint="A6"/>
                <w:sz w:val="16"/>
                <w:szCs w:val="16"/>
                <w:lang w:eastAsia="el-GR"/>
              </w:rPr>
            </w:pPr>
            <w:r w:rsidRPr="00575A7E">
              <w:rPr>
                <w:rFonts w:ascii="Calibri" w:eastAsia="Times New Roman" w:hAnsi="Calibri" w:cs="Times New Roman"/>
                <w:bCs/>
                <w:color w:val="595959" w:themeColor="text1" w:themeTint="A6"/>
                <w:sz w:val="16"/>
                <w:szCs w:val="16"/>
                <w:lang w:eastAsia="el-GR"/>
              </w:rPr>
              <w:t>Πηγή: ΕΦΚΑ</w:t>
            </w:r>
          </w:p>
        </w:tc>
      </w:tr>
    </w:tbl>
    <w:p w14:paraId="672B2771" w14:textId="77777777" w:rsidR="007C3A64" w:rsidRPr="00575A7E" w:rsidRDefault="007C3A64" w:rsidP="003B1BE9">
      <w:pPr>
        <w:spacing w:after="0" w:line="276" w:lineRule="auto"/>
        <w:jc w:val="both"/>
        <w:rPr>
          <w:rFonts w:ascii="Calibri" w:eastAsia="Calibri" w:hAnsi="Calibri" w:cs="Times New Roman"/>
          <w:color w:val="595959" w:themeColor="text1" w:themeTint="A6"/>
        </w:rPr>
      </w:pPr>
    </w:p>
    <w:p w14:paraId="7D9519A6" w14:textId="77777777" w:rsidR="007C3A64" w:rsidRPr="00575A7E" w:rsidRDefault="007C3A64" w:rsidP="003B1BE9">
      <w:pPr>
        <w:spacing w:after="0"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 xml:space="preserve">Σημειώνεται ότι ο αριθμός των νέων αιτήσεων για συνταξιοδότηση στον ΕΦΚΑ αυξάνεται από το 2017 (145.555 νέες αιτήσεις) μέχρι το 2019 (166.562 νέες αιτήσεις), ενώ εμφανίζεται μειωμένος κατά το 2020 (159.389 νέες αιτήσεις). Ενδεικτικό για τα αίτια αυτής της </w:t>
      </w:r>
      <w:r w:rsidRPr="00575A7E">
        <w:rPr>
          <w:rFonts w:ascii="Calibri" w:eastAsia="Calibri" w:hAnsi="Calibri" w:cs="Times New Roman"/>
          <w:color w:val="595959" w:themeColor="text1" w:themeTint="A6"/>
        </w:rPr>
        <w:lastRenderedPageBreak/>
        <w:t xml:space="preserve">παρατηρούμενης μείωσης είναι ότι ενώ στην αρχή του έτους οι νέες αιτήσεις συνταξιοδότησης ήταν περισσότερες συγκριτικά με τους αντίστοιχους μήνες του 2019 (13.461 και 13.848 νέες αιτήσεις συνταξιοδότησης τον Ιανουάριο και Φεβρουάριο 2019, ενώ το 2020 15.623 και 15.025 νέες αιτήσεις, αντίστοιχα), κατά τους μήνες Μάρτιο και Απρίλιο 2020 οι νέες αιτήσεις συνταξιοδότησης ήταν εμφανώς λιγότερες (13.397 νέες αιτήσεις τον Μάρτιο 2019 και 12.890 τον Απρίλιο, ενώ το 2020 οι νέες αιτήσεις ήταν 9.777 και 6.505 αντίστοιχα), γεγονός που πιθανώς οφείλεται στα περιοριστικά μέτρα κυκλοφορίας των πολιτών στο πλαίσιο αντιμετώπισης της πανδημίας </w:t>
      </w:r>
      <w:r w:rsidRPr="00575A7E">
        <w:rPr>
          <w:rFonts w:ascii="Calibri" w:eastAsia="Calibri" w:hAnsi="Calibri" w:cs="Times New Roman"/>
          <w:color w:val="595959" w:themeColor="text1" w:themeTint="A6"/>
          <w:lang w:val="en-US"/>
        </w:rPr>
        <w:t>COVID</w:t>
      </w:r>
      <w:r w:rsidRPr="00575A7E">
        <w:rPr>
          <w:rFonts w:ascii="Calibri" w:eastAsia="Calibri" w:hAnsi="Calibri" w:cs="Times New Roman"/>
          <w:color w:val="595959" w:themeColor="text1" w:themeTint="A6"/>
        </w:rPr>
        <w:t xml:space="preserve"> 19.</w:t>
      </w:r>
    </w:p>
    <w:p w14:paraId="5C060251" w14:textId="77777777" w:rsidR="00DB1FA8" w:rsidRPr="00575A7E" w:rsidRDefault="00DB1FA8" w:rsidP="003B1BE9">
      <w:pPr>
        <w:spacing w:after="0" w:line="276" w:lineRule="auto"/>
        <w:jc w:val="both"/>
        <w:rPr>
          <w:rFonts w:ascii="Calibri" w:eastAsia="Calibri" w:hAnsi="Calibri" w:cs="Times New Roman"/>
          <w:color w:val="595959" w:themeColor="text1" w:themeTint="A6"/>
        </w:rPr>
      </w:pPr>
    </w:p>
    <w:p w14:paraId="6D93D7EE" w14:textId="77777777" w:rsidR="00515224" w:rsidRPr="00575A7E" w:rsidRDefault="00515224" w:rsidP="003B1BE9">
      <w:pPr>
        <w:pStyle w:val="2"/>
        <w:spacing w:before="0" w:line="276" w:lineRule="auto"/>
        <w:rPr>
          <w:rFonts w:eastAsia="Times New Roman"/>
        </w:rPr>
      </w:pPr>
      <w:bookmarkStart w:id="144" w:name="_Toc40706008"/>
      <w:bookmarkStart w:id="145" w:name="_Toc55711939"/>
      <w:bookmarkStart w:id="146" w:name="_Toc67401925"/>
      <w:r w:rsidRPr="00575A7E">
        <w:rPr>
          <w:rFonts w:eastAsia="Times New Roman"/>
        </w:rPr>
        <w:t xml:space="preserve">3.2. </w:t>
      </w:r>
      <w:bookmarkStart w:id="147" w:name="_Toc55711940"/>
      <w:bookmarkEnd w:id="144"/>
      <w:bookmarkEnd w:id="145"/>
      <w:r w:rsidRPr="00575A7E">
        <w:rPr>
          <w:rFonts w:eastAsia="Times New Roman"/>
        </w:rPr>
        <w:t>Κοινωνική πρόνοια</w:t>
      </w:r>
      <w:bookmarkEnd w:id="147"/>
      <w:bookmarkEnd w:id="146"/>
      <w:r w:rsidRPr="00575A7E">
        <w:rPr>
          <w:rFonts w:eastAsia="Times New Roman"/>
        </w:rPr>
        <w:t xml:space="preserve"> </w:t>
      </w:r>
    </w:p>
    <w:p w14:paraId="5BCFC4FD" w14:textId="77777777" w:rsidR="007E7E9C" w:rsidRPr="00575A7E" w:rsidRDefault="007E7E9C" w:rsidP="003B1BE9">
      <w:pPr>
        <w:spacing w:after="0" w:line="276" w:lineRule="auto"/>
        <w:jc w:val="both"/>
        <w:rPr>
          <w:rFonts w:ascii="Calibri" w:eastAsia="Calibri" w:hAnsi="Calibri" w:cs="Times New Roman"/>
          <w:color w:val="C45911" w:themeColor="accent2" w:themeShade="BF"/>
        </w:rPr>
      </w:pPr>
    </w:p>
    <w:p w14:paraId="3C474814" w14:textId="696EA2A5" w:rsidR="007E7E9C" w:rsidRPr="00575A7E" w:rsidRDefault="00A57564" w:rsidP="003B1BE9">
      <w:pPr>
        <w:spacing w:after="0" w:line="276" w:lineRule="auto"/>
        <w:jc w:val="both"/>
        <w:rPr>
          <w:color w:val="595959" w:themeColor="text1" w:themeTint="A6"/>
        </w:rPr>
      </w:pPr>
      <w:r>
        <w:rPr>
          <w:color w:val="595959" w:themeColor="text1" w:themeTint="A6"/>
        </w:rPr>
        <w:t>Ο</w:t>
      </w:r>
      <w:r w:rsidR="001A034F">
        <w:rPr>
          <w:color w:val="595959" w:themeColor="text1" w:themeTint="A6"/>
        </w:rPr>
        <w:t xml:space="preserve"> </w:t>
      </w:r>
      <w:r w:rsidR="007E7E9C" w:rsidRPr="00575A7E">
        <w:rPr>
          <w:color w:val="595959" w:themeColor="text1" w:themeTint="A6"/>
        </w:rPr>
        <w:t xml:space="preserve">Οργανισμός </w:t>
      </w:r>
      <w:proofErr w:type="spellStart"/>
      <w:r w:rsidR="007E7E9C" w:rsidRPr="00575A7E">
        <w:rPr>
          <w:color w:val="595959" w:themeColor="text1" w:themeTint="A6"/>
        </w:rPr>
        <w:t>Προνοιακών</w:t>
      </w:r>
      <w:proofErr w:type="spellEnd"/>
      <w:r w:rsidR="007E7E9C" w:rsidRPr="00575A7E">
        <w:rPr>
          <w:color w:val="595959" w:themeColor="text1" w:themeTint="A6"/>
        </w:rPr>
        <w:t xml:space="preserve"> Επιδομάτων Κοινωνικής Αλληλεγγύης (ΟΠΕΚΑ), το 2020 (μέχρι και τον Δεκέμβριο), έχει καταβάλει</w:t>
      </w:r>
      <w:r w:rsidR="007E7E9C" w:rsidRPr="00575A7E">
        <w:rPr>
          <w:color w:val="595959" w:themeColor="text1" w:themeTint="A6"/>
          <w:vertAlign w:val="superscript"/>
        </w:rPr>
        <w:footnoteReference w:id="12"/>
      </w:r>
      <w:r w:rsidR="007E7E9C" w:rsidRPr="00575A7E">
        <w:rPr>
          <w:color w:val="595959" w:themeColor="text1" w:themeTint="A6"/>
        </w:rPr>
        <w:t xml:space="preserve"> σχεδόν 3,16 δις ευρώ. </w:t>
      </w:r>
    </w:p>
    <w:p w14:paraId="15A4E9E1" w14:textId="77777777" w:rsidR="007E7E9C" w:rsidRPr="00575A7E" w:rsidRDefault="007E7E9C" w:rsidP="003B1BE9">
      <w:pPr>
        <w:pStyle w:val="ae"/>
        <w:keepNext/>
        <w:spacing w:after="0" w:line="276" w:lineRule="auto"/>
        <w:rPr>
          <w:i w:val="0"/>
          <w:iCs w:val="0"/>
          <w:color w:val="595959" w:themeColor="text1" w:themeTint="A6"/>
          <w:sz w:val="22"/>
          <w:szCs w:val="22"/>
        </w:rPr>
      </w:pPr>
    </w:p>
    <w:p w14:paraId="72AD2292" w14:textId="36F32ABD" w:rsidR="00660996" w:rsidRPr="00575A7E" w:rsidRDefault="00D960BC" w:rsidP="00D960BC">
      <w:pPr>
        <w:pStyle w:val="ae"/>
        <w:jc w:val="center"/>
      </w:pPr>
      <w:bookmarkStart w:id="148" w:name="_Toc67396689"/>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10</w:t>
      </w:r>
      <w:r w:rsidR="0096217C">
        <w:rPr>
          <w:noProof/>
        </w:rPr>
        <w:fldChar w:fldCharType="end"/>
      </w:r>
      <w:r w:rsidR="00660996" w:rsidRPr="00575A7E">
        <w:t xml:space="preserve"> Δαπάνη καταβολής επιδομάτων ΟΠΕΚΑ, Ιανουάριος – Δεκέμβριος 2020, σε ευρώ</w:t>
      </w:r>
      <w:bookmarkEnd w:id="148"/>
    </w:p>
    <w:tbl>
      <w:tblPr>
        <w:tblW w:w="8363" w:type="dxa"/>
        <w:jc w:val="center"/>
        <w:tblLayout w:type="fixed"/>
        <w:tblLook w:val="04A0" w:firstRow="1" w:lastRow="0" w:firstColumn="1" w:lastColumn="0" w:noHBand="0" w:noVBand="1"/>
      </w:tblPr>
      <w:tblGrid>
        <w:gridCol w:w="2410"/>
        <w:gridCol w:w="1235"/>
        <w:gridCol w:w="1137"/>
        <w:gridCol w:w="1137"/>
        <w:gridCol w:w="1169"/>
        <w:gridCol w:w="1275"/>
      </w:tblGrid>
      <w:tr w:rsidR="007E7E9C" w:rsidRPr="009B0549" w14:paraId="39ADF33A" w14:textId="77777777" w:rsidTr="00DD1444">
        <w:trPr>
          <w:trHeight w:val="300"/>
          <w:jc w:val="center"/>
        </w:trPr>
        <w:tc>
          <w:tcPr>
            <w:tcW w:w="2410" w:type="dxa"/>
            <w:tcBorders>
              <w:top w:val="nil"/>
              <w:left w:val="nil"/>
              <w:bottom w:val="single" w:sz="4" w:space="0" w:color="auto"/>
              <w:right w:val="nil"/>
            </w:tcBorders>
            <w:vAlign w:val="center"/>
            <w:hideMark/>
          </w:tcPr>
          <w:p w14:paraId="77141FF7" w14:textId="77777777" w:rsidR="007E7E9C" w:rsidRPr="00DD1444" w:rsidRDefault="007E7E9C" w:rsidP="003B1BE9">
            <w:pPr>
              <w:spacing w:after="200" w:line="276" w:lineRule="auto"/>
              <w:jc w:val="center"/>
              <w:rPr>
                <w:color w:val="595959" w:themeColor="text1" w:themeTint="A6"/>
                <w:sz w:val="16"/>
                <w:szCs w:val="16"/>
              </w:rPr>
            </w:pPr>
          </w:p>
        </w:tc>
        <w:tc>
          <w:tcPr>
            <w:tcW w:w="1235" w:type="dxa"/>
            <w:tcBorders>
              <w:top w:val="nil"/>
              <w:left w:val="nil"/>
              <w:bottom w:val="single" w:sz="4" w:space="0" w:color="auto"/>
              <w:right w:val="nil"/>
            </w:tcBorders>
            <w:noWrap/>
            <w:vAlign w:val="center"/>
          </w:tcPr>
          <w:p w14:paraId="5A1B3A58" w14:textId="77777777" w:rsidR="007E7E9C" w:rsidRPr="00DD1444" w:rsidRDefault="007E7E9C" w:rsidP="003B1BE9">
            <w:pPr>
              <w:spacing w:after="0" w:line="276" w:lineRule="auto"/>
              <w:jc w:val="center"/>
              <w:rPr>
                <w:rFonts w:ascii="Calibri" w:eastAsia="Times New Roman" w:hAnsi="Calibri" w:cs="Times New Roman"/>
                <w:bCs/>
                <w:color w:val="595959" w:themeColor="text1" w:themeTint="A6"/>
                <w:sz w:val="16"/>
                <w:szCs w:val="16"/>
                <w:lang w:eastAsia="el-GR"/>
              </w:rPr>
            </w:pPr>
            <w:r w:rsidRPr="00DD1444">
              <w:rPr>
                <w:rFonts w:ascii="Calibri" w:eastAsia="Times New Roman" w:hAnsi="Calibri" w:cs="Times New Roman"/>
                <w:bCs/>
                <w:color w:val="595959" w:themeColor="text1" w:themeTint="A6"/>
                <w:sz w:val="16"/>
                <w:szCs w:val="16"/>
                <w:lang w:eastAsia="el-GR"/>
              </w:rPr>
              <w:t>1</w:t>
            </w:r>
            <w:r w:rsidRPr="00DD1444">
              <w:rPr>
                <w:rFonts w:ascii="Calibri" w:eastAsia="Times New Roman" w:hAnsi="Calibri" w:cs="Times New Roman"/>
                <w:bCs/>
                <w:color w:val="595959" w:themeColor="text1" w:themeTint="A6"/>
                <w:sz w:val="16"/>
                <w:szCs w:val="16"/>
                <w:vertAlign w:val="superscript"/>
                <w:lang w:eastAsia="el-GR"/>
              </w:rPr>
              <w:t>ο</w:t>
            </w:r>
            <w:r w:rsidRPr="00DD1444">
              <w:rPr>
                <w:rFonts w:ascii="Calibri" w:eastAsia="Times New Roman" w:hAnsi="Calibri" w:cs="Times New Roman"/>
                <w:bCs/>
                <w:color w:val="595959" w:themeColor="text1" w:themeTint="A6"/>
                <w:sz w:val="16"/>
                <w:szCs w:val="16"/>
                <w:lang w:eastAsia="el-GR"/>
              </w:rPr>
              <w:t xml:space="preserve"> Τρίμηνο</w:t>
            </w:r>
          </w:p>
        </w:tc>
        <w:tc>
          <w:tcPr>
            <w:tcW w:w="1137" w:type="dxa"/>
            <w:tcBorders>
              <w:top w:val="nil"/>
              <w:left w:val="nil"/>
              <w:bottom w:val="single" w:sz="4" w:space="0" w:color="auto"/>
              <w:right w:val="nil"/>
            </w:tcBorders>
            <w:vAlign w:val="center"/>
          </w:tcPr>
          <w:p w14:paraId="619A264C" w14:textId="77777777" w:rsidR="007E7E9C" w:rsidRPr="00DD1444" w:rsidRDefault="007E7E9C" w:rsidP="003B1BE9">
            <w:pPr>
              <w:spacing w:after="0" w:line="276" w:lineRule="auto"/>
              <w:ind w:right="-139"/>
              <w:jc w:val="center"/>
              <w:rPr>
                <w:rFonts w:ascii="Calibri" w:eastAsia="Times New Roman" w:hAnsi="Calibri" w:cs="Times New Roman"/>
                <w:bCs/>
                <w:color w:val="595959" w:themeColor="text1" w:themeTint="A6"/>
                <w:sz w:val="16"/>
                <w:szCs w:val="16"/>
                <w:lang w:eastAsia="el-GR"/>
              </w:rPr>
            </w:pPr>
            <w:r w:rsidRPr="00DD1444">
              <w:rPr>
                <w:rFonts w:ascii="Calibri" w:eastAsia="Times New Roman" w:hAnsi="Calibri" w:cs="Times New Roman"/>
                <w:bCs/>
                <w:color w:val="595959" w:themeColor="text1" w:themeTint="A6"/>
                <w:sz w:val="16"/>
                <w:szCs w:val="16"/>
                <w:lang w:eastAsia="el-GR"/>
              </w:rPr>
              <w:t>2</w:t>
            </w:r>
            <w:r w:rsidRPr="00DD1444">
              <w:rPr>
                <w:rFonts w:ascii="Calibri" w:eastAsia="Times New Roman" w:hAnsi="Calibri" w:cs="Times New Roman"/>
                <w:bCs/>
                <w:color w:val="595959" w:themeColor="text1" w:themeTint="A6"/>
                <w:sz w:val="16"/>
                <w:szCs w:val="16"/>
                <w:vertAlign w:val="superscript"/>
                <w:lang w:eastAsia="el-GR"/>
              </w:rPr>
              <w:t>ο</w:t>
            </w:r>
            <w:r w:rsidRPr="00DD1444">
              <w:rPr>
                <w:rFonts w:ascii="Calibri" w:eastAsia="Times New Roman" w:hAnsi="Calibri" w:cs="Times New Roman"/>
                <w:bCs/>
                <w:color w:val="595959" w:themeColor="text1" w:themeTint="A6"/>
                <w:sz w:val="16"/>
                <w:szCs w:val="16"/>
                <w:lang w:eastAsia="el-GR"/>
              </w:rPr>
              <w:t xml:space="preserve"> Τρίμηνο</w:t>
            </w:r>
          </w:p>
        </w:tc>
        <w:tc>
          <w:tcPr>
            <w:tcW w:w="1137" w:type="dxa"/>
            <w:tcBorders>
              <w:top w:val="nil"/>
              <w:left w:val="nil"/>
              <w:bottom w:val="single" w:sz="4" w:space="0" w:color="auto"/>
              <w:right w:val="nil"/>
            </w:tcBorders>
            <w:vAlign w:val="center"/>
          </w:tcPr>
          <w:p w14:paraId="71BC13C3" w14:textId="77777777" w:rsidR="007E7E9C" w:rsidRPr="00DD1444" w:rsidRDefault="007E7E9C" w:rsidP="003B1BE9">
            <w:pPr>
              <w:spacing w:after="0" w:line="276" w:lineRule="auto"/>
              <w:ind w:right="-136"/>
              <w:jc w:val="center"/>
              <w:rPr>
                <w:rFonts w:ascii="Calibri" w:eastAsia="Times New Roman" w:hAnsi="Calibri" w:cs="Times New Roman"/>
                <w:bCs/>
                <w:color w:val="595959" w:themeColor="text1" w:themeTint="A6"/>
                <w:sz w:val="16"/>
                <w:szCs w:val="16"/>
                <w:lang w:val="en-US" w:eastAsia="el-GR"/>
              </w:rPr>
            </w:pPr>
            <w:r w:rsidRPr="00DD1444">
              <w:rPr>
                <w:rFonts w:ascii="Calibri" w:eastAsia="Times New Roman" w:hAnsi="Calibri" w:cs="Times New Roman"/>
                <w:bCs/>
                <w:color w:val="595959" w:themeColor="text1" w:themeTint="A6"/>
                <w:sz w:val="16"/>
                <w:szCs w:val="16"/>
                <w:lang w:eastAsia="el-GR"/>
              </w:rPr>
              <w:t>3</w:t>
            </w:r>
            <w:r w:rsidRPr="00DD1444">
              <w:rPr>
                <w:rFonts w:ascii="Calibri" w:eastAsia="Times New Roman" w:hAnsi="Calibri" w:cs="Times New Roman"/>
                <w:bCs/>
                <w:color w:val="595959" w:themeColor="text1" w:themeTint="A6"/>
                <w:sz w:val="16"/>
                <w:szCs w:val="16"/>
                <w:vertAlign w:val="superscript"/>
                <w:lang w:eastAsia="el-GR"/>
              </w:rPr>
              <w:t>ο</w:t>
            </w:r>
            <w:r w:rsidRPr="00DD1444">
              <w:rPr>
                <w:rFonts w:ascii="Calibri" w:eastAsia="Times New Roman" w:hAnsi="Calibri" w:cs="Times New Roman"/>
                <w:bCs/>
                <w:color w:val="595959" w:themeColor="text1" w:themeTint="A6"/>
                <w:sz w:val="16"/>
                <w:szCs w:val="16"/>
                <w:lang w:eastAsia="el-GR"/>
              </w:rPr>
              <w:t xml:space="preserve"> Τρίμηνο</w:t>
            </w:r>
          </w:p>
        </w:tc>
        <w:tc>
          <w:tcPr>
            <w:tcW w:w="1169" w:type="dxa"/>
            <w:tcBorders>
              <w:top w:val="nil"/>
              <w:left w:val="nil"/>
              <w:bottom w:val="single" w:sz="4" w:space="0" w:color="auto"/>
              <w:right w:val="nil"/>
            </w:tcBorders>
            <w:vAlign w:val="center"/>
          </w:tcPr>
          <w:p w14:paraId="574F1E18"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bCs/>
                <w:color w:val="595959" w:themeColor="text1" w:themeTint="A6"/>
                <w:sz w:val="16"/>
                <w:szCs w:val="16"/>
                <w:lang w:eastAsia="el-GR"/>
              </w:rPr>
              <w:t>4</w:t>
            </w:r>
            <w:r w:rsidRPr="00DD1444">
              <w:rPr>
                <w:rFonts w:ascii="Calibri" w:eastAsia="Times New Roman" w:hAnsi="Calibri" w:cs="Times New Roman"/>
                <w:bCs/>
                <w:color w:val="595959" w:themeColor="text1" w:themeTint="A6"/>
                <w:sz w:val="16"/>
                <w:szCs w:val="16"/>
                <w:vertAlign w:val="superscript"/>
                <w:lang w:eastAsia="el-GR"/>
              </w:rPr>
              <w:t>ο</w:t>
            </w:r>
            <w:r w:rsidRPr="00DD1444">
              <w:rPr>
                <w:rFonts w:ascii="Calibri" w:eastAsia="Times New Roman" w:hAnsi="Calibri" w:cs="Times New Roman"/>
                <w:bCs/>
                <w:color w:val="595959" w:themeColor="text1" w:themeTint="A6"/>
                <w:sz w:val="16"/>
                <w:szCs w:val="16"/>
                <w:lang w:eastAsia="el-GR"/>
              </w:rPr>
              <w:t xml:space="preserve"> Τρίμηνο</w:t>
            </w:r>
          </w:p>
        </w:tc>
        <w:tc>
          <w:tcPr>
            <w:tcW w:w="1275" w:type="dxa"/>
            <w:tcBorders>
              <w:top w:val="nil"/>
              <w:left w:val="nil"/>
              <w:bottom w:val="single" w:sz="4" w:space="0" w:color="auto"/>
              <w:right w:val="nil"/>
            </w:tcBorders>
            <w:noWrap/>
            <w:vAlign w:val="center"/>
            <w:hideMark/>
          </w:tcPr>
          <w:p w14:paraId="11425B1C"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2020</w:t>
            </w:r>
          </w:p>
        </w:tc>
      </w:tr>
      <w:tr w:rsidR="007E7E9C" w:rsidRPr="009B0549" w14:paraId="1A8AA37D" w14:textId="77777777" w:rsidTr="00DD1444">
        <w:trPr>
          <w:trHeight w:val="269"/>
          <w:jc w:val="center"/>
        </w:trPr>
        <w:tc>
          <w:tcPr>
            <w:tcW w:w="2410" w:type="dxa"/>
            <w:vAlign w:val="center"/>
            <w:hideMark/>
          </w:tcPr>
          <w:p w14:paraId="6158B86F"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Στέγασης</w:t>
            </w:r>
          </w:p>
        </w:tc>
        <w:tc>
          <w:tcPr>
            <w:tcW w:w="1235" w:type="dxa"/>
            <w:noWrap/>
            <w:vAlign w:val="center"/>
          </w:tcPr>
          <w:p w14:paraId="23A8554A"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91.602.286</w:t>
            </w:r>
          </w:p>
        </w:tc>
        <w:tc>
          <w:tcPr>
            <w:tcW w:w="1137" w:type="dxa"/>
            <w:vAlign w:val="center"/>
          </w:tcPr>
          <w:p w14:paraId="0BDCBEFE"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94.001.926</w:t>
            </w:r>
          </w:p>
        </w:tc>
        <w:tc>
          <w:tcPr>
            <w:tcW w:w="1137" w:type="dxa"/>
            <w:shd w:val="clear" w:color="auto" w:fill="auto"/>
            <w:vAlign w:val="center"/>
          </w:tcPr>
          <w:p w14:paraId="2E97D83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82.380.394</w:t>
            </w:r>
          </w:p>
        </w:tc>
        <w:tc>
          <w:tcPr>
            <w:tcW w:w="1169" w:type="dxa"/>
            <w:vAlign w:val="center"/>
          </w:tcPr>
          <w:p w14:paraId="124E6377"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85.083.846</w:t>
            </w:r>
          </w:p>
        </w:tc>
        <w:tc>
          <w:tcPr>
            <w:tcW w:w="1275" w:type="dxa"/>
            <w:shd w:val="clear" w:color="auto" w:fill="auto"/>
            <w:noWrap/>
            <w:vAlign w:val="center"/>
          </w:tcPr>
          <w:p w14:paraId="644A8985"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353.068.452</w:t>
            </w:r>
          </w:p>
        </w:tc>
      </w:tr>
      <w:tr w:rsidR="007E7E9C" w:rsidRPr="009B0549" w14:paraId="2BB5052E" w14:textId="77777777" w:rsidTr="00DD1444">
        <w:trPr>
          <w:trHeight w:val="480"/>
          <w:jc w:val="center"/>
        </w:trPr>
        <w:tc>
          <w:tcPr>
            <w:tcW w:w="2410" w:type="dxa"/>
            <w:vAlign w:val="center"/>
            <w:hideMark/>
          </w:tcPr>
          <w:p w14:paraId="53AEA2AA"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Ελάχιστο εγγυημένο εισόδημα</w:t>
            </w:r>
          </w:p>
        </w:tc>
        <w:tc>
          <w:tcPr>
            <w:tcW w:w="1235" w:type="dxa"/>
            <w:noWrap/>
            <w:vAlign w:val="center"/>
          </w:tcPr>
          <w:p w14:paraId="6DA32CB2"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150.220.894</w:t>
            </w:r>
          </w:p>
        </w:tc>
        <w:tc>
          <w:tcPr>
            <w:tcW w:w="1137" w:type="dxa"/>
            <w:vAlign w:val="center"/>
          </w:tcPr>
          <w:p w14:paraId="27F699CF"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eastAsia="el-GR"/>
              </w:rPr>
              <w:t>157.222.455</w:t>
            </w:r>
          </w:p>
        </w:tc>
        <w:tc>
          <w:tcPr>
            <w:tcW w:w="1137" w:type="dxa"/>
            <w:shd w:val="clear" w:color="auto" w:fill="auto"/>
            <w:vAlign w:val="center"/>
          </w:tcPr>
          <w:p w14:paraId="3A775877"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145.764.054</w:t>
            </w:r>
          </w:p>
        </w:tc>
        <w:tc>
          <w:tcPr>
            <w:tcW w:w="1169" w:type="dxa"/>
            <w:vAlign w:val="center"/>
          </w:tcPr>
          <w:p w14:paraId="0F89A4E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220.824.520</w:t>
            </w:r>
          </w:p>
        </w:tc>
        <w:tc>
          <w:tcPr>
            <w:tcW w:w="1275" w:type="dxa"/>
            <w:shd w:val="clear" w:color="auto" w:fill="auto"/>
            <w:noWrap/>
            <w:vAlign w:val="center"/>
          </w:tcPr>
          <w:p w14:paraId="2E87D2F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674.031.923</w:t>
            </w:r>
          </w:p>
        </w:tc>
      </w:tr>
      <w:tr w:rsidR="007E7E9C" w:rsidRPr="009B0549" w14:paraId="6CE76EAD" w14:textId="77777777" w:rsidTr="00DD1444">
        <w:trPr>
          <w:trHeight w:val="300"/>
          <w:jc w:val="center"/>
        </w:trPr>
        <w:tc>
          <w:tcPr>
            <w:tcW w:w="2410" w:type="dxa"/>
            <w:vAlign w:val="center"/>
            <w:hideMark/>
          </w:tcPr>
          <w:p w14:paraId="5A947912"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Αναπηρικά</w:t>
            </w:r>
          </w:p>
        </w:tc>
        <w:tc>
          <w:tcPr>
            <w:tcW w:w="1235" w:type="dxa"/>
            <w:noWrap/>
            <w:vAlign w:val="center"/>
          </w:tcPr>
          <w:p w14:paraId="0CF58CB2"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203.087.096</w:t>
            </w:r>
          </w:p>
        </w:tc>
        <w:tc>
          <w:tcPr>
            <w:tcW w:w="1137" w:type="dxa"/>
            <w:vAlign w:val="center"/>
          </w:tcPr>
          <w:p w14:paraId="43234462"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eastAsia="el-GR"/>
              </w:rPr>
              <w:t>205.312.703</w:t>
            </w:r>
          </w:p>
        </w:tc>
        <w:tc>
          <w:tcPr>
            <w:tcW w:w="1137" w:type="dxa"/>
            <w:shd w:val="clear" w:color="auto" w:fill="auto"/>
            <w:vAlign w:val="center"/>
          </w:tcPr>
          <w:p w14:paraId="3B03348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211.152.202</w:t>
            </w:r>
          </w:p>
        </w:tc>
        <w:tc>
          <w:tcPr>
            <w:tcW w:w="1169" w:type="dxa"/>
            <w:vAlign w:val="center"/>
          </w:tcPr>
          <w:p w14:paraId="0502D91E"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212.183.147</w:t>
            </w:r>
          </w:p>
        </w:tc>
        <w:tc>
          <w:tcPr>
            <w:tcW w:w="1275" w:type="dxa"/>
            <w:shd w:val="clear" w:color="auto" w:fill="auto"/>
            <w:noWrap/>
            <w:vAlign w:val="center"/>
          </w:tcPr>
          <w:p w14:paraId="594FFE9B"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831.735.148</w:t>
            </w:r>
          </w:p>
        </w:tc>
      </w:tr>
      <w:tr w:rsidR="007E7E9C" w:rsidRPr="009B0549" w14:paraId="2D836188" w14:textId="77777777" w:rsidTr="00DD1444">
        <w:trPr>
          <w:trHeight w:val="300"/>
          <w:jc w:val="center"/>
        </w:trPr>
        <w:tc>
          <w:tcPr>
            <w:tcW w:w="2410" w:type="dxa"/>
            <w:vAlign w:val="center"/>
            <w:hideMark/>
          </w:tcPr>
          <w:p w14:paraId="058DD20C"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Ανασφάλιστοι υπερήλικες</w:t>
            </w:r>
          </w:p>
        </w:tc>
        <w:tc>
          <w:tcPr>
            <w:tcW w:w="1235" w:type="dxa"/>
            <w:noWrap/>
            <w:vAlign w:val="center"/>
          </w:tcPr>
          <w:p w14:paraId="2CBFB8C1"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24.742.335</w:t>
            </w:r>
          </w:p>
        </w:tc>
        <w:tc>
          <w:tcPr>
            <w:tcW w:w="1137" w:type="dxa"/>
            <w:vAlign w:val="center"/>
          </w:tcPr>
          <w:p w14:paraId="521F85E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24.118.111</w:t>
            </w:r>
          </w:p>
        </w:tc>
        <w:tc>
          <w:tcPr>
            <w:tcW w:w="1137" w:type="dxa"/>
            <w:shd w:val="clear" w:color="auto" w:fill="auto"/>
            <w:vAlign w:val="center"/>
          </w:tcPr>
          <w:p w14:paraId="1E60B4D4"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23.577.520</w:t>
            </w:r>
          </w:p>
        </w:tc>
        <w:tc>
          <w:tcPr>
            <w:tcW w:w="1169" w:type="dxa"/>
            <w:vAlign w:val="center"/>
          </w:tcPr>
          <w:p w14:paraId="7F05EE8C"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23.179.528</w:t>
            </w:r>
          </w:p>
        </w:tc>
        <w:tc>
          <w:tcPr>
            <w:tcW w:w="1275" w:type="dxa"/>
            <w:shd w:val="clear" w:color="auto" w:fill="auto"/>
            <w:noWrap/>
            <w:vAlign w:val="center"/>
          </w:tcPr>
          <w:p w14:paraId="219D6048"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95.617.494</w:t>
            </w:r>
          </w:p>
        </w:tc>
      </w:tr>
      <w:tr w:rsidR="007E7E9C" w:rsidRPr="009B0549" w14:paraId="21CAF9C6" w14:textId="77777777" w:rsidTr="00DD1444">
        <w:trPr>
          <w:trHeight w:val="297"/>
          <w:jc w:val="center"/>
        </w:trPr>
        <w:tc>
          <w:tcPr>
            <w:tcW w:w="2410" w:type="dxa"/>
            <w:vAlign w:val="center"/>
            <w:hideMark/>
          </w:tcPr>
          <w:p w14:paraId="24415ACD"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Επίδομα κοινωνικής αλληλεγγύης υπερηλίκων</w:t>
            </w:r>
          </w:p>
        </w:tc>
        <w:tc>
          <w:tcPr>
            <w:tcW w:w="1235" w:type="dxa"/>
            <w:noWrap/>
            <w:vAlign w:val="center"/>
          </w:tcPr>
          <w:p w14:paraId="7A452D61"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9.956.722</w:t>
            </w:r>
          </w:p>
        </w:tc>
        <w:tc>
          <w:tcPr>
            <w:tcW w:w="1137" w:type="dxa"/>
            <w:vAlign w:val="center"/>
          </w:tcPr>
          <w:p w14:paraId="4AEAEA4F"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eastAsia="el-GR"/>
              </w:rPr>
              <w:t>10.073.325</w:t>
            </w:r>
          </w:p>
        </w:tc>
        <w:tc>
          <w:tcPr>
            <w:tcW w:w="1137" w:type="dxa"/>
            <w:shd w:val="clear" w:color="auto" w:fill="auto"/>
            <w:vAlign w:val="center"/>
          </w:tcPr>
          <w:p w14:paraId="312BAD25"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10.965.196</w:t>
            </w:r>
          </w:p>
        </w:tc>
        <w:tc>
          <w:tcPr>
            <w:tcW w:w="1169" w:type="dxa"/>
            <w:vAlign w:val="center"/>
          </w:tcPr>
          <w:p w14:paraId="739E331D"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12.822.724</w:t>
            </w:r>
          </w:p>
        </w:tc>
        <w:tc>
          <w:tcPr>
            <w:tcW w:w="1275" w:type="dxa"/>
            <w:noWrap/>
            <w:vAlign w:val="center"/>
          </w:tcPr>
          <w:p w14:paraId="171BD51A"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43.817.967</w:t>
            </w:r>
          </w:p>
        </w:tc>
      </w:tr>
      <w:tr w:rsidR="007E7E9C" w:rsidRPr="009B0549" w14:paraId="6667A672" w14:textId="77777777" w:rsidTr="00DD1444">
        <w:trPr>
          <w:trHeight w:val="291"/>
          <w:jc w:val="center"/>
        </w:trPr>
        <w:tc>
          <w:tcPr>
            <w:tcW w:w="2410" w:type="dxa"/>
            <w:vAlign w:val="center"/>
            <w:hideMark/>
          </w:tcPr>
          <w:p w14:paraId="02DCE4AB"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Γέννησης</w:t>
            </w:r>
          </w:p>
        </w:tc>
        <w:tc>
          <w:tcPr>
            <w:tcW w:w="1235" w:type="dxa"/>
            <w:noWrap/>
            <w:vAlign w:val="center"/>
          </w:tcPr>
          <w:p w14:paraId="6F3D2F63"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7.413.000</w:t>
            </w:r>
          </w:p>
        </w:tc>
        <w:tc>
          <w:tcPr>
            <w:tcW w:w="1137" w:type="dxa"/>
            <w:vAlign w:val="center"/>
          </w:tcPr>
          <w:p w14:paraId="194FDCCF"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eastAsia="el-GR"/>
              </w:rPr>
              <w:t>25.275.000</w:t>
            </w:r>
          </w:p>
        </w:tc>
        <w:tc>
          <w:tcPr>
            <w:tcW w:w="1137" w:type="dxa"/>
            <w:shd w:val="clear" w:color="auto" w:fill="auto"/>
            <w:vAlign w:val="center"/>
          </w:tcPr>
          <w:p w14:paraId="27D6B4B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36.790.000</w:t>
            </w:r>
          </w:p>
        </w:tc>
        <w:tc>
          <w:tcPr>
            <w:tcW w:w="1169" w:type="dxa"/>
            <w:vAlign w:val="center"/>
          </w:tcPr>
          <w:p w14:paraId="72DF76D7" w14:textId="77777777" w:rsidR="007E7E9C" w:rsidRPr="00DD1444" w:rsidRDefault="007E7E9C" w:rsidP="003B1BE9">
            <w:pPr>
              <w:spacing w:after="0" w:line="276" w:lineRule="auto"/>
              <w:ind w:left="62"/>
              <w:contextualSpacing/>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40.386.000</w:t>
            </w:r>
          </w:p>
        </w:tc>
        <w:tc>
          <w:tcPr>
            <w:tcW w:w="1275" w:type="dxa"/>
            <w:noWrap/>
            <w:vAlign w:val="center"/>
          </w:tcPr>
          <w:p w14:paraId="01DF1650" w14:textId="77777777" w:rsidR="007E7E9C" w:rsidRPr="00DD1444" w:rsidRDefault="007E7E9C" w:rsidP="003B1BE9">
            <w:pPr>
              <w:spacing w:after="0" w:line="276" w:lineRule="auto"/>
              <w:ind w:left="62"/>
              <w:contextualSpacing/>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val="en-US" w:eastAsia="el-GR"/>
              </w:rPr>
              <w:t>109.864.000</w:t>
            </w:r>
          </w:p>
        </w:tc>
      </w:tr>
      <w:tr w:rsidR="007E7E9C" w:rsidRPr="009B0549" w14:paraId="46563D2E" w14:textId="77777777" w:rsidTr="00DD1444">
        <w:trPr>
          <w:trHeight w:val="300"/>
          <w:jc w:val="center"/>
        </w:trPr>
        <w:tc>
          <w:tcPr>
            <w:tcW w:w="2410" w:type="dxa"/>
            <w:vAlign w:val="center"/>
            <w:hideMark/>
          </w:tcPr>
          <w:p w14:paraId="316943C7"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Οικογενειακά</w:t>
            </w:r>
          </w:p>
        </w:tc>
        <w:tc>
          <w:tcPr>
            <w:tcW w:w="1235" w:type="dxa"/>
            <w:noWrap/>
            <w:vAlign w:val="center"/>
          </w:tcPr>
          <w:p w14:paraId="2E59E40A"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117.875.666</w:t>
            </w:r>
          </w:p>
        </w:tc>
        <w:tc>
          <w:tcPr>
            <w:tcW w:w="1137" w:type="dxa"/>
            <w:vAlign w:val="center"/>
          </w:tcPr>
          <w:p w14:paraId="498E16B2"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val="en-US" w:eastAsia="el-GR"/>
              </w:rPr>
            </w:pPr>
            <w:r w:rsidRPr="00DD1444">
              <w:rPr>
                <w:rFonts w:ascii="Calibri" w:eastAsia="Times New Roman" w:hAnsi="Calibri" w:cs="Times New Roman"/>
                <w:color w:val="595959" w:themeColor="text1" w:themeTint="A6"/>
                <w:sz w:val="16"/>
                <w:szCs w:val="16"/>
                <w:lang w:eastAsia="el-GR"/>
              </w:rPr>
              <w:t>184.344.811</w:t>
            </w:r>
          </w:p>
        </w:tc>
        <w:tc>
          <w:tcPr>
            <w:tcW w:w="1137" w:type="dxa"/>
            <w:shd w:val="clear" w:color="auto" w:fill="auto"/>
            <w:vAlign w:val="center"/>
          </w:tcPr>
          <w:p w14:paraId="6B0973F1"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367.726.663</w:t>
            </w:r>
          </w:p>
        </w:tc>
        <w:tc>
          <w:tcPr>
            <w:tcW w:w="1169" w:type="dxa"/>
            <w:vAlign w:val="center"/>
          </w:tcPr>
          <w:p w14:paraId="64B1D71D"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346.591.645</w:t>
            </w:r>
          </w:p>
        </w:tc>
        <w:tc>
          <w:tcPr>
            <w:tcW w:w="1275" w:type="dxa"/>
            <w:noWrap/>
            <w:vAlign w:val="center"/>
          </w:tcPr>
          <w:p w14:paraId="15966966"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1.016.538.785</w:t>
            </w:r>
          </w:p>
        </w:tc>
      </w:tr>
      <w:tr w:rsidR="007E7E9C" w:rsidRPr="009B0549" w14:paraId="7E36B4CB" w14:textId="77777777" w:rsidTr="00DD1444">
        <w:trPr>
          <w:trHeight w:val="300"/>
          <w:jc w:val="center"/>
        </w:trPr>
        <w:tc>
          <w:tcPr>
            <w:tcW w:w="2410" w:type="dxa"/>
            <w:vAlign w:val="center"/>
            <w:hideMark/>
          </w:tcPr>
          <w:p w14:paraId="7575E05B" w14:textId="77777777" w:rsidR="007E7E9C" w:rsidRPr="00DD1444" w:rsidRDefault="007E7E9C" w:rsidP="003B1BE9">
            <w:pPr>
              <w:spacing w:after="0" w:line="276" w:lineRule="auto"/>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Άλλα επιδόματα</w:t>
            </w:r>
          </w:p>
        </w:tc>
        <w:tc>
          <w:tcPr>
            <w:tcW w:w="1235" w:type="dxa"/>
            <w:noWrap/>
            <w:vAlign w:val="center"/>
          </w:tcPr>
          <w:p w14:paraId="462CEA4F"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2.398.730</w:t>
            </w:r>
          </w:p>
        </w:tc>
        <w:tc>
          <w:tcPr>
            <w:tcW w:w="1137" w:type="dxa"/>
            <w:vAlign w:val="center"/>
          </w:tcPr>
          <w:p w14:paraId="4425BE3A"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3.440.372</w:t>
            </w:r>
          </w:p>
        </w:tc>
        <w:tc>
          <w:tcPr>
            <w:tcW w:w="1137" w:type="dxa"/>
            <w:shd w:val="clear" w:color="auto" w:fill="auto"/>
            <w:vAlign w:val="center"/>
          </w:tcPr>
          <w:p w14:paraId="76FF95A0" w14:textId="77777777" w:rsidR="007E7E9C" w:rsidRPr="00DD1444" w:rsidRDefault="007E7E9C" w:rsidP="003B1BE9">
            <w:pPr>
              <w:spacing w:after="0" w:line="276" w:lineRule="auto"/>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2.660.523</w:t>
            </w:r>
          </w:p>
        </w:tc>
        <w:tc>
          <w:tcPr>
            <w:tcW w:w="1169" w:type="dxa"/>
            <w:vAlign w:val="center"/>
          </w:tcPr>
          <w:p w14:paraId="461C242B" w14:textId="77777777" w:rsidR="007E7E9C" w:rsidRPr="00DD1444" w:rsidRDefault="007E7E9C" w:rsidP="003B1BE9">
            <w:pPr>
              <w:spacing w:after="0" w:line="276" w:lineRule="auto"/>
              <w:ind w:left="62" w:right="-108"/>
              <w:contextualSpacing/>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27.673.849</w:t>
            </w:r>
            <w:r w:rsidRPr="00DD1444">
              <w:rPr>
                <w:rFonts w:ascii="Calibri" w:eastAsia="Times New Roman" w:hAnsi="Calibri" w:cs="Times New Roman"/>
                <w:b/>
                <w:color w:val="595959" w:themeColor="text1" w:themeTint="A6"/>
                <w:sz w:val="16"/>
                <w:szCs w:val="16"/>
                <w:lang w:eastAsia="el-GR"/>
              </w:rPr>
              <w:t>*</w:t>
            </w:r>
          </w:p>
        </w:tc>
        <w:tc>
          <w:tcPr>
            <w:tcW w:w="1275" w:type="dxa"/>
            <w:noWrap/>
            <w:vAlign w:val="center"/>
          </w:tcPr>
          <w:p w14:paraId="40A46801" w14:textId="77777777" w:rsidR="007E7E9C" w:rsidRPr="00DD1444" w:rsidRDefault="007E7E9C" w:rsidP="003B1BE9">
            <w:pPr>
              <w:spacing w:after="0" w:line="276" w:lineRule="auto"/>
              <w:ind w:left="62"/>
              <w:contextualSpacing/>
              <w:jc w:val="center"/>
              <w:rPr>
                <w:rFonts w:ascii="Calibri" w:eastAsia="Times New Roman" w:hAnsi="Calibri" w:cs="Times New Roman"/>
                <w:color w:val="595959" w:themeColor="text1" w:themeTint="A6"/>
                <w:sz w:val="16"/>
                <w:szCs w:val="16"/>
                <w:lang w:eastAsia="el-GR"/>
              </w:rPr>
            </w:pPr>
            <w:r w:rsidRPr="00DD1444">
              <w:rPr>
                <w:rFonts w:ascii="Calibri" w:eastAsia="Times New Roman" w:hAnsi="Calibri" w:cs="Times New Roman"/>
                <w:color w:val="595959" w:themeColor="text1" w:themeTint="A6"/>
                <w:sz w:val="16"/>
                <w:szCs w:val="16"/>
                <w:lang w:eastAsia="el-GR"/>
              </w:rPr>
              <w:t>36.173.474</w:t>
            </w:r>
          </w:p>
        </w:tc>
      </w:tr>
      <w:tr w:rsidR="007E7E9C" w:rsidRPr="009B0549" w14:paraId="61C0F591" w14:textId="77777777" w:rsidTr="00DD1444">
        <w:trPr>
          <w:trHeight w:val="300"/>
          <w:jc w:val="center"/>
        </w:trPr>
        <w:tc>
          <w:tcPr>
            <w:tcW w:w="2410" w:type="dxa"/>
            <w:tcBorders>
              <w:top w:val="nil"/>
              <w:left w:val="nil"/>
              <w:bottom w:val="single" w:sz="4" w:space="0" w:color="auto"/>
              <w:right w:val="nil"/>
            </w:tcBorders>
            <w:vAlign w:val="center"/>
            <w:hideMark/>
          </w:tcPr>
          <w:p w14:paraId="13C2C610" w14:textId="77777777" w:rsidR="007E7E9C" w:rsidRPr="00DD1444" w:rsidRDefault="007E7E9C" w:rsidP="003B1BE9">
            <w:pPr>
              <w:spacing w:after="0" w:line="276" w:lineRule="auto"/>
              <w:jc w:val="center"/>
              <w:rPr>
                <w:rFonts w:ascii="Calibri" w:eastAsia="Times New Roman" w:hAnsi="Calibri" w:cs="Times New Roman"/>
                <w:b/>
                <w:bCs/>
                <w:color w:val="595959" w:themeColor="text1" w:themeTint="A6"/>
                <w:sz w:val="16"/>
                <w:szCs w:val="16"/>
                <w:lang w:eastAsia="el-GR"/>
              </w:rPr>
            </w:pPr>
            <w:r w:rsidRPr="00DD1444">
              <w:rPr>
                <w:rFonts w:ascii="Calibri" w:eastAsia="Times New Roman" w:hAnsi="Calibri" w:cs="Times New Roman"/>
                <w:b/>
                <w:bCs/>
                <w:color w:val="595959" w:themeColor="text1" w:themeTint="A6"/>
                <w:sz w:val="16"/>
                <w:szCs w:val="16"/>
                <w:lang w:eastAsia="el-GR"/>
              </w:rPr>
              <w:t>ΣΥΝΟΛΟ</w:t>
            </w:r>
          </w:p>
        </w:tc>
        <w:tc>
          <w:tcPr>
            <w:tcW w:w="1235" w:type="dxa"/>
            <w:tcBorders>
              <w:top w:val="nil"/>
              <w:left w:val="nil"/>
              <w:bottom w:val="single" w:sz="4" w:space="0" w:color="auto"/>
              <w:right w:val="nil"/>
            </w:tcBorders>
            <w:noWrap/>
            <w:vAlign w:val="center"/>
          </w:tcPr>
          <w:p w14:paraId="32350019" w14:textId="77777777" w:rsidR="007E7E9C" w:rsidRPr="00DD1444" w:rsidRDefault="007E7E9C" w:rsidP="003B1BE9">
            <w:pPr>
              <w:spacing w:after="0" w:line="276" w:lineRule="auto"/>
              <w:jc w:val="center"/>
              <w:rPr>
                <w:rFonts w:ascii="Calibri" w:eastAsia="Times New Roman" w:hAnsi="Calibri" w:cs="Times New Roman"/>
                <w:b/>
                <w:color w:val="595959" w:themeColor="text1" w:themeTint="A6"/>
                <w:sz w:val="16"/>
                <w:szCs w:val="16"/>
                <w:lang w:eastAsia="el-GR"/>
              </w:rPr>
            </w:pPr>
            <w:r w:rsidRPr="00DD1444">
              <w:rPr>
                <w:rFonts w:ascii="Calibri" w:eastAsia="Times New Roman" w:hAnsi="Calibri" w:cs="Times New Roman"/>
                <w:b/>
                <w:color w:val="595959" w:themeColor="text1" w:themeTint="A6"/>
                <w:sz w:val="16"/>
                <w:szCs w:val="16"/>
                <w:lang w:eastAsia="el-GR"/>
              </w:rPr>
              <w:t>607.296.729</w:t>
            </w:r>
          </w:p>
        </w:tc>
        <w:tc>
          <w:tcPr>
            <w:tcW w:w="1137" w:type="dxa"/>
            <w:tcBorders>
              <w:top w:val="nil"/>
              <w:left w:val="nil"/>
              <w:bottom w:val="single" w:sz="4" w:space="0" w:color="auto"/>
              <w:right w:val="nil"/>
            </w:tcBorders>
            <w:vAlign w:val="center"/>
          </w:tcPr>
          <w:p w14:paraId="36517FF9" w14:textId="77777777" w:rsidR="007E7E9C" w:rsidRPr="00DD1444" w:rsidRDefault="007E7E9C" w:rsidP="003B1BE9">
            <w:pPr>
              <w:spacing w:after="0" w:line="276" w:lineRule="auto"/>
              <w:jc w:val="center"/>
              <w:rPr>
                <w:rFonts w:ascii="Calibri" w:eastAsia="Times New Roman" w:hAnsi="Calibri" w:cs="Times New Roman"/>
                <w:b/>
                <w:color w:val="595959" w:themeColor="text1" w:themeTint="A6"/>
                <w:sz w:val="16"/>
                <w:szCs w:val="16"/>
                <w:lang w:eastAsia="el-GR"/>
              </w:rPr>
            </w:pPr>
            <w:r w:rsidRPr="00DD1444">
              <w:rPr>
                <w:rFonts w:ascii="Calibri" w:eastAsia="Times New Roman" w:hAnsi="Calibri" w:cs="Times New Roman"/>
                <w:b/>
                <w:color w:val="595959" w:themeColor="text1" w:themeTint="A6"/>
                <w:sz w:val="16"/>
                <w:szCs w:val="16"/>
                <w:lang w:eastAsia="el-GR"/>
              </w:rPr>
              <w:t>703.788.703</w:t>
            </w:r>
          </w:p>
        </w:tc>
        <w:tc>
          <w:tcPr>
            <w:tcW w:w="1137" w:type="dxa"/>
            <w:tcBorders>
              <w:top w:val="nil"/>
              <w:left w:val="nil"/>
              <w:bottom w:val="single" w:sz="4" w:space="0" w:color="auto"/>
              <w:right w:val="nil"/>
            </w:tcBorders>
            <w:shd w:val="clear" w:color="auto" w:fill="auto"/>
            <w:vAlign w:val="center"/>
          </w:tcPr>
          <w:p w14:paraId="6FA73278" w14:textId="77777777" w:rsidR="007E7E9C" w:rsidRPr="00DD1444" w:rsidRDefault="007E7E9C" w:rsidP="003B1BE9">
            <w:pPr>
              <w:spacing w:after="0" w:line="276" w:lineRule="auto"/>
              <w:jc w:val="center"/>
              <w:rPr>
                <w:rFonts w:ascii="Calibri" w:eastAsia="Times New Roman" w:hAnsi="Calibri" w:cs="Times New Roman"/>
                <w:b/>
                <w:color w:val="595959" w:themeColor="text1" w:themeTint="A6"/>
                <w:sz w:val="16"/>
                <w:szCs w:val="16"/>
                <w:lang w:eastAsia="el-GR"/>
              </w:rPr>
            </w:pPr>
            <w:r w:rsidRPr="00DD1444">
              <w:rPr>
                <w:rFonts w:ascii="Calibri" w:eastAsia="Times New Roman" w:hAnsi="Calibri" w:cs="Times New Roman"/>
                <w:b/>
                <w:color w:val="595959" w:themeColor="text1" w:themeTint="A6"/>
                <w:sz w:val="16"/>
                <w:szCs w:val="16"/>
                <w:lang w:eastAsia="el-GR"/>
              </w:rPr>
              <w:t>881.016.552</w:t>
            </w:r>
          </w:p>
        </w:tc>
        <w:tc>
          <w:tcPr>
            <w:tcW w:w="1169" w:type="dxa"/>
            <w:tcBorders>
              <w:top w:val="nil"/>
              <w:left w:val="nil"/>
              <w:bottom w:val="single" w:sz="4" w:space="0" w:color="auto"/>
              <w:right w:val="nil"/>
            </w:tcBorders>
            <w:vAlign w:val="center"/>
          </w:tcPr>
          <w:p w14:paraId="7C481C94" w14:textId="77777777" w:rsidR="007E7E9C" w:rsidRPr="00DD1444" w:rsidRDefault="007E7E9C" w:rsidP="003B1BE9">
            <w:pPr>
              <w:spacing w:after="0" w:line="276" w:lineRule="auto"/>
              <w:jc w:val="center"/>
              <w:rPr>
                <w:rFonts w:ascii="Calibri" w:eastAsia="Times New Roman" w:hAnsi="Calibri" w:cs="Times New Roman"/>
                <w:b/>
                <w:color w:val="595959" w:themeColor="text1" w:themeTint="A6"/>
                <w:sz w:val="16"/>
                <w:szCs w:val="16"/>
                <w:lang w:eastAsia="el-GR"/>
              </w:rPr>
            </w:pPr>
            <w:r w:rsidRPr="00DD1444">
              <w:rPr>
                <w:rFonts w:ascii="Calibri" w:eastAsia="Times New Roman" w:hAnsi="Calibri" w:cs="Times New Roman"/>
                <w:b/>
                <w:color w:val="595959" w:themeColor="text1" w:themeTint="A6"/>
                <w:sz w:val="16"/>
                <w:szCs w:val="16"/>
                <w:lang w:eastAsia="el-GR"/>
              </w:rPr>
              <w:t>968.745.259</w:t>
            </w:r>
          </w:p>
        </w:tc>
        <w:tc>
          <w:tcPr>
            <w:tcW w:w="1275" w:type="dxa"/>
            <w:tcBorders>
              <w:top w:val="nil"/>
              <w:left w:val="nil"/>
              <w:bottom w:val="single" w:sz="4" w:space="0" w:color="auto"/>
              <w:right w:val="nil"/>
            </w:tcBorders>
            <w:noWrap/>
            <w:vAlign w:val="center"/>
          </w:tcPr>
          <w:p w14:paraId="757D44AF" w14:textId="77777777" w:rsidR="007E7E9C" w:rsidRPr="00DD1444" w:rsidRDefault="007E7E9C" w:rsidP="003B1BE9">
            <w:pPr>
              <w:spacing w:after="0" w:line="276" w:lineRule="auto"/>
              <w:jc w:val="center"/>
              <w:rPr>
                <w:rFonts w:ascii="Calibri" w:eastAsia="Times New Roman" w:hAnsi="Calibri" w:cs="Times New Roman"/>
                <w:b/>
                <w:color w:val="595959" w:themeColor="text1" w:themeTint="A6"/>
                <w:sz w:val="16"/>
                <w:szCs w:val="16"/>
                <w:lang w:eastAsia="el-GR"/>
              </w:rPr>
            </w:pPr>
            <w:r w:rsidRPr="00DD1444">
              <w:rPr>
                <w:rFonts w:ascii="Calibri" w:eastAsia="Times New Roman" w:hAnsi="Calibri" w:cs="Times New Roman"/>
                <w:b/>
                <w:color w:val="595959" w:themeColor="text1" w:themeTint="A6"/>
                <w:sz w:val="16"/>
                <w:szCs w:val="16"/>
                <w:lang w:eastAsia="el-GR"/>
              </w:rPr>
              <w:t>3.160.847.243</w:t>
            </w:r>
          </w:p>
        </w:tc>
      </w:tr>
      <w:tr w:rsidR="00F506E4" w:rsidRPr="009B0549" w14:paraId="07854DBF" w14:textId="77777777" w:rsidTr="00DD1444">
        <w:trPr>
          <w:trHeight w:val="300"/>
          <w:jc w:val="center"/>
        </w:trPr>
        <w:tc>
          <w:tcPr>
            <w:tcW w:w="8363" w:type="dxa"/>
            <w:gridSpan w:val="6"/>
            <w:tcBorders>
              <w:top w:val="single" w:sz="4" w:space="0" w:color="auto"/>
              <w:left w:val="nil"/>
              <w:right w:val="nil"/>
            </w:tcBorders>
          </w:tcPr>
          <w:p w14:paraId="4299AF97" w14:textId="77777777" w:rsidR="00F506E4" w:rsidRPr="009B0549" w:rsidRDefault="00F506E4" w:rsidP="003B1BE9">
            <w:pPr>
              <w:spacing w:after="0" w:line="276" w:lineRule="auto"/>
              <w:ind w:left="601" w:hanging="709"/>
              <w:jc w:val="both"/>
              <w:rPr>
                <w:rFonts w:ascii="Calibri" w:eastAsia="Times New Roman" w:hAnsi="Calibri" w:cs="Times New Roman"/>
                <w:bCs/>
                <w:color w:val="595959" w:themeColor="text1" w:themeTint="A6"/>
                <w:sz w:val="16"/>
                <w:szCs w:val="16"/>
                <w:lang w:eastAsia="el-GR"/>
              </w:rPr>
            </w:pPr>
            <w:r w:rsidRPr="009B0549">
              <w:rPr>
                <w:rFonts w:ascii="Calibri" w:eastAsia="Times New Roman" w:hAnsi="Calibri" w:cs="Times New Roman"/>
                <w:bCs/>
                <w:color w:val="595959" w:themeColor="text1" w:themeTint="A6"/>
                <w:sz w:val="16"/>
                <w:szCs w:val="16"/>
                <w:lang w:eastAsia="el-GR"/>
              </w:rPr>
              <w:t xml:space="preserve">Σημείωση: Στα “Άλλα επιδόματα” περιλαμβάνονται τα επιδόματα στεγαστικής συνδρομής, ομογενών, ορεινών &amp; μειονεκτικών περιοχών, τα έξοδα κηδείας, η συνεισφορά του Δημοσίου στα κόκκινα δάνεια, το επίδομα στα προστατευόμενα τέκνα </w:t>
            </w:r>
            <w:proofErr w:type="spellStart"/>
            <w:r w:rsidRPr="009B0549">
              <w:rPr>
                <w:rFonts w:ascii="Calibri" w:eastAsia="Times New Roman" w:hAnsi="Calibri" w:cs="Times New Roman"/>
                <w:bCs/>
                <w:color w:val="595959" w:themeColor="text1" w:themeTint="A6"/>
                <w:sz w:val="16"/>
                <w:szCs w:val="16"/>
                <w:lang w:eastAsia="el-GR"/>
              </w:rPr>
              <w:t>θανόντων</w:t>
            </w:r>
            <w:proofErr w:type="spellEnd"/>
            <w:r w:rsidRPr="009B0549">
              <w:rPr>
                <w:rFonts w:ascii="Calibri" w:eastAsia="Times New Roman" w:hAnsi="Calibri" w:cs="Times New Roman"/>
                <w:bCs/>
                <w:color w:val="595959" w:themeColor="text1" w:themeTint="A6"/>
                <w:sz w:val="16"/>
                <w:szCs w:val="16"/>
                <w:lang w:eastAsia="el-GR"/>
              </w:rPr>
              <w:t xml:space="preserve"> σε φυσικές καταστροφές και το πρόγραμμα επιδότησης α΄ κατοικίας λόγω </w:t>
            </w:r>
            <w:r w:rsidRPr="009B0549">
              <w:rPr>
                <w:rFonts w:ascii="Calibri" w:eastAsia="Times New Roman" w:hAnsi="Calibri" w:cs="Times New Roman"/>
                <w:bCs/>
                <w:color w:val="595959" w:themeColor="text1" w:themeTint="A6"/>
                <w:sz w:val="16"/>
                <w:szCs w:val="16"/>
                <w:lang w:val="en-US" w:eastAsia="el-GR"/>
              </w:rPr>
              <w:t>COVID</w:t>
            </w:r>
            <w:r w:rsidRPr="009B0549">
              <w:rPr>
                <w:rFonts w:ascii="Calibri" w:eastAsia="Times New Roman" w:hAnsi="Calibri" w:cs="Times New Roman"/>
                <w:bCs/>
                <w:color w:val="595959" w:themeColor="text1" w:themeTint="A6"/>
                <w:sz w:val="16"/>
                <w:szCs w:val="16"/>
                <w:lang w:eastAsia="el-GR"/>
              </w:rPr>
              <w:t xml:space="preserve">-19. </w:t>
            </w:r>
          </w:p>
          <w:p w14:paraId="1CF20D9F" w14:textId="77777777" w:rsidR="00F506E4" w:rsidRPr="009B0549" w:rsidRDefault="00F506E4" w:rsidP="003B1BE9">
            <w:pPr>
              <w:spacing w:after="0" w:line="276" w:lineRule="auto"/>
              <w:ind w:left="601" w:hanging="142"/>
              <w:jc w:val="both"/>
              <w:rPr>
                <w:rFonts w:ascii="Calibri" w:eastAsia="Times New Roman" w:hAnsi="Calibri" w:cs="Times New Roman"/>
                <w:bCs/>
                <w:color w:val="595959" w:themeColor="text1" w:themeTint="A6"/>
                <w:sz w:val="16"/>
                <w:szCs w:val="16"/>
                <w:lang w:eastAsia="el-GR"/>
              </w:rPr>
            </w:pPr>
            <w:r w:rsidRPr="009B0549">
              <w:rPr>
                <w:rFonts w:ascii="Calibri" w:eastAsia="Times New Roman" w:hAnsi="Calibri" w:cs="Times New Roman"/>
                <w:b/>
                <w:bCs/>
                <w:color w:val="595959" w:themeColor="text1" w:themeTint="A6"/>
                <w:sz w:val="16"/>
                <w:szCs w:val="16"/>
                <w:lang w:eastAsia="el-GR"/>
              </w:rPr>
              <w:t>*</w:t>
            </w:r>
            <w:r w:rsidRPr="009B0549">
              <w:rPr>
                <w:rFonts w:ascii="Calibri" w:eastAsia="Times New Roman" w:hAnsi="Calibri" w:cs="Times New Roman"/>
                <w:bCs/>
                <w:color w:val="595959" w:themeColor="text1" w:themeTint="A6"/>
                <w:sz w:val="16"/>
                <w:szCs w:val="16"/>
                <w:lang w:eastAsia="el-GR"/>
              </w:rPr>
              <w:t xml:space="preserve">  Περιλαμβάνει την καταβολή περίπου 23,3 εκατ. ευρώ κατά τους μήνες Νοέμβριο και Δεκέμβριο 20</w:t>
            </w:r>
            <w:r w:rsidR="00CB2429">
              <w:rPr>
                <w:rFonts w:ascii="Calibri" w:eastAsia="Times New Roman" w:hAnsi="Calibri" w:cs="Times New Roman"/>
                <w:bCs/>
                <w:color w:val="595959" w:themeColor="text1" w:themeTint="A6"/>
                <w:sz w:val="16"/>
                <w:szCs w:val="16"/>
                <w:lang w:eastAsia="el-GR"/>
              </w:rPr>
              <w:t>2</w:t>
            </w:r>
            <w:r w:rsidRPr="009B0549">
              <w:rPr>
                <w:rFonts w:ascii="Calibri" w:eastAsia="Times New Roman" w:hAnsi="Calibri" w:cs="Times New Roman"/>
                <w:bCs/>
                <w:color w:val="595959" w:themeColor="text1" w:themeTint="A6"/>
                <w:sz w:val="16"/>
                <w:szCs w:val="16"/>
                <w:lang w:eastAsia="el-GR"/>
              </w:rPr>
              <w:t>0 στο πλαίσιο του προγράμματος “</w:t>
            </w:r>
            <w:r w:rsidR="000E1732">
              <w:rPr>
                <w:rFonts w:ascii="Calibri" w:eastAsia="Times New Roman" w:hAnsi="Calibri" w:cs="Times New Roman"/>
                <w:bCs/>
                <w:color w:val="595959" w:themeColor="text1" w:themeTint="A6"/>
                <w:sz w:val="16"/>
                <w:szCs w:val="16"/>
                <w:lang w:eastAsia="el-GR"/>
              </w:rPr>
              <w:t>Γ</w:t>
            </w:r>
            <w:r w:rsidRPr="009B0549">
              <w:rPr>
                <w:rFonts w:ascii="Calibri" w:eastAsia="Times New Roman" w:hAnsi="Calibri" w:cs="Times New Roman"/>
                <w:bCs/>
                <w:color w:val="595959" w:themeColor="text1" w:themeTint="A6"/>
                <w:sz w:val="16"/>
                <w:szCs w:val="16"/>
                <w:lang w:eastAsia="el-GR"/>
              </w:rPr>
              <w:t>έφυρα”.</w:t>
            </w:r>
          </w:p>
          <w:p w14:paraId="0D015778" w14:textId="77777777" w:rsidR="00F506E4" w:rsidRPr="009B0549" w:rsidRDefault="00F506E4" w:rsidP="003B1BE9">
            <w:pPr>
              <w:spacing w:after="0" w:line="276" w:lineRule="auto"/>
              <w:ind w:hanging="108"/>
              <w:jc w:val="both"/>
              <w:rPr>
                <w:rFonts w:ascii="Calibri" w:eastAsia="Times New Roman" w:hAnsi="Calibri" w:cs="Times New Roman"/>
                <w:bCs/>
                <w:color w:val="595959" w:themeColor="text1" w:themeTint="A6"/>
                <w:sz w:val="16"/>
                <w:szCs w:val="16"/>
                <w:lang w:eastAsia="el-GR"/>
              </w:rPr>
            </w:pPr>
            <w:r w:rsidRPr="009B0549">
              <w:rPr>
                <w:rFonts w:ascii="Calibri" w:eastAsia="Times New Roman" w:hAnsi="Calibri" w:cs="Times New Roman"/>
                <w:bCs/>
                <w:color w:val="595959" w:themeColor="text1" w:themeTint="A6"/>
                <w:sz w:val="16"/>
                <w:szCs w:val="16"/>
                <w:lang w:eastAsia="el-GR"/>
              </w:rPr>
              <w:t>Πηγή: ΟΠΕΚΑ</w:t>
            </w:r>
          </w:p>
        </w:tc>
      </w:tr>
    </w:tbl>
    <w:p w14:paraId="20043FE0" w14:textId="77777777" w:rsidR="007E7E9C" w:rsidRPr="00575A7E" w:rsidRDefault="007E7E9C" w:rsidP="003B1BE9">
      <w:pPr>
        <w:spacing w:after="0" w:line="276" w:lineRule="auto"/>
        <w:jc w:val="both"/>
        <w:rPr>
          <w:rFonts w:ascii="Calibri" w:eastAsia="Calibri" w:hAnsi="Calibri" w:cs="Times New Roman"/>
          <w:color w:val="595959" w:themeColor="text1" w:themeTint="A6"/>
        </w:rPr>
      </w:pPr>
    </w:p>
    <w:p w14:paraId="5E1343A6" w14:textId="77777777" w:rsidR="007E7E9C" w:rsidRPr="001F2A4D" w:rsidRDefault="007E7E9C" w:rsidP="003B1BE9">
      <w:pPr>
        <w:spacing w:line="276" w:lineRule="auto"/>
        <w:jc w:val="both"/>
        <w:rPr>
          <w:color w:val="595959" w:themeColor="text1" w:themeTint="A6"/>
        </w:rPr>
      </w:pPr>
      <w:r w:rsidRPr="00575A7E">
        <w:rPr>
          <w:color w:val="595959" w:themeColor="text1" w:themeTint="A6"/>
        </w:rPr>
        <w:t xml:space="preserve">Ενδεικτικά, για </w:t>
      </w:r>
      <w:proofErr w:type="spellStart"/>
      <w:r w:rsidRPr="00575A7E">
        <w:rPr>
          <w:color w:val="595959" w:themeColor="text1" w:themeTint="A6"/>
        </w:rPr>
        <w:t>προνοιακά</w:t>
      </w:r>
      <w:proofErr w:type="spellEnd"/>
      <w:r w:rsidRPr="00575A7E">
        <w:rPr>
          <w:color w:val="595959" w:themeColor="text1" w:themeTint="A6"/>
        </w:rPr>
        <w:t xml:space="preserve"> αναπηρικά επιδόματα καταβλήθηκαν περίπου 831,7 εκατ. ευρώ, για επιδόματα στέγασης και στεγαστικής συνδρομής περίπου 357,5 εκατ. ευρώ. Για οικογενειακά επιδόματα και επιδόματα παιδιών καταβλήθηκαν περισσότερα από 1,1 δις ευρώ (στα οποία περιλαμβάνονται, μεταξύ άλλων, περίπου 110 εκατ. ευρώ για επίδομα γέννησης σε περισσότερους από 107.000 δικαιούχους και περίπου 119.000 ευρώ σε προστατευόμενα τέκνα </w:t>
      </w:r>
      <w:proofErr w:type="spellStart"/>
      <w:r w:rsidRPr="00575A7E">
        <w:rPr>
          <w:color w:val="595959" w:themeColor="text1" w:themeTint="A6"/>
        </w:rPr>
        <w:t>θανόντων</w:t>
      </w:r>
      <w:proofErr w:type="spellEnd"/>
      <w:r w:rsidRPr="00575A7E">
        <w:rPr>
          <w:color w:val="595959" w:themeColor="text1" w:themeTint="A6"/>
        </w:rPr>
        <w:t xml:space="preserve"> σε φυσικές καταστροφές). Δαπάνη περίπου 674 εκατ. ευρώ αφορούσε την καταβολή του ελάχιστου εγγυημένου εισοδήματος, ενώ καταβλήθηκαν 43,8 εκατ. ευρώ ως επίδομα κοινωνικής αλληλεγγύης υπερηλίκων και 95,6 εκατ. ευρώ σε ανασφάλιστους υπερήλικες. Η </w:t>
      </w:r>
      <w:hyperlink r:id="rId85" w:history="1">
        <w:r w:rsidRPr="00575A7E">
          <w:rPr>
            <w:color w:val="595959" w:themeColor="text1" w:themeTint="A6"/>
            <w:u w:val="single"/>
          </w:rPr>
          <w:t>συνεισφορά του Δημοσίου</w:t>
        </w:r>
      </w:hyperlink>
      <w:r w:rsidRPr="00575A7E">
        <w:rPr>
          <w:color w:val="595959" w:themeColor="text1" w:themeTint="A6"/>
          <w:vertAlign w:val="superscript"/>
        </w:rPr>
        <w:footnoteReference w:id="13"/>
      </w:r>
      <w:r w:rsidRPr="00575A7E">
        <w:rPr>
          <w:color w:val="595959" w:themeColor="text1" w:themeTint="A6"/>
        </w:rPr>
        <w:t xml:space="preserve"> για την προστασία της κύριας κατοικίας οφειλετών (κόκκινα δάνεια) ανήρθε σε 995.022 ευρώ και αφορούσε </w:t>
      </w:r>
      <w:r w:rsidRPr="00575A7E">
        <w:rPr>
          <w:color w:val="595959" w:themeColor="text1" w:themeTint="A6"/>
        </w:rPr>
        <w:lastRenderedPageBreak/>
        <w:t xml:space="preserve">περισσότερους από 15.500 δικαιούχους. Για το </w:t>
      </w:r>
      <w:hyperlink r:id="rId86" w:history="1">
        <w:r w:rsidRPr="00575A7E">
          <w:rPr>
            <w:color w:val="595959" w:themeColor="text1" w:themeTint="A6"/>
            <w:u w:val="single"/>
          </w:rPr>
          <w:t>πρόγραμμα “</w:t>
        </w:r>
        <w:r w:rsidR="000F425D">
          <w:rPr>
            <w:color w:val="595959" w:themeColor="text1" w:themeTint="A6"/>
            <w:u w:val="single"/>
          </w:rPr>
          <w:t>Γ</w:t>
        </w:r>
        <w:r w:rsidRPr="00575A7E">
          <w:rPr>
            <w:color w:val="595959" w:themeColor="text1" w:themeTint="A6"/>
            <w:u w:val="single"/>
          </w:rPr>
          <w:t>έφυρα”</w:t>
        </w:r>
      </w:hyperlink>
      <w:r w:rsidRPr="00575A7E">
        <w:rPr>
          <w:rStyle w:val="a5"/>
          <w:color w:val="595959" w:themeColor="text1" w:themeTint="A6"/>
        </w:rPr>
        <w:footnoteReference w:id="14"/>
      </w:r>
      <w:r w:rsidRPr="00575A7E">
        <w:rPr>
          <w:color w:val="595959" w:themeColor="text1" w:themeTint="A6"/>
        </w:rPr>
        <w:t xml:space="preserve"> (πρόγραμμα επιδότησης α΄ κατοικίας ως μέτρο προστασίας των πολιτών απέναντι στις επιπτώσεις της πανδημίας </w:t>
      </w:r>
      <w:r w:rsidRPr="00575A7E">
        <w:rPr>
          <w:color w:val="595959" w:themeColor="text1" w:themeTint="A6"/>
          <w:lang w:val="en-US"/>
        </w:rPr>
        <w:t>COVID</w:t>
      </w:r>
      <w:r w:rsidRPr="00575A7E">
        <w:rPr>
          <w:color w:val="595959" w:themeColor="text1" w:themeTint="A6"/>
        </w:rPr>
        <w:t>-19) καταβλήθηκαν, κατά τους μήνες Νοέμβριο και Δεκέμβριο 20</w:t>
      </w:r>
      <w:r w:rsidR="00CB2429">
        <w:rPr>
          <w:color w:val="595959" w:themeColor="text1" w:themeTint="A6"/>
        </w:rPr>
        <w:t>2</w:t>
      </w:r>
      <w:r w:rsidRPr="00575A7E">
        <w:rPr>
          <w:color w:val="595959" w:themeColor="text1" w:themeTint="A6"/>
        </w:rPr>
        <w:t>0, περίπου 23,3 εκατ. ευρώ.</w:t>
      </w:r>
    </w:p>
    <w:p w14:paraId="241717E4" w14:textId="77777777" w:rsidR="007E7E9C" w:rsidRPr="00575A7E" w:rsidRDefault="007E7E9C" w:rsidP="003B1BE9">
      <w:pPr>
        <w:spacing w:after="0" w:line="276" w:lineRule="auto"/>
        <w:jc w:val="both"/>
        <w:rPr>
          <w:color w:val="595959" w:themeColor="text1" w:themeTint="A6"/>
        </w:rPr>
      </w:pPr>
      <w:r w:rsidRPr="00575A7E">
        <w:rPr>
          <w:color w:val="595959" w:themeColor="text1" w:themeTint="A6"/>
        </w:rPr>
        <w:t>Στον επόμενο πίνακα φαίνεται αναλυτικά ο αριθμός των δικαιούχων επιδομάτων του ΟΠΕΚΑ, ανά επίδομα ανά μήνα.</w:t>
      </w:r>
    </w:p>
    <w:p w14:paraId="24FC3E7A" w14:textId="77777777" w:rsidR="00BC73D7" w:rsidRDefault="00BC73D7">
      <w:pPr>
        <w:rPr>
          <w:color w:val="595959" w:themeColor="text1" w:themeTint="A6"/>
        </w:rPr>
      </w:pPr>
    </w:p>
    <w:p w14:paraId="7BF58E15" w14:textId="77777777" w:rsidR="00B157B6" w:rsidRPr="00575A7E" w:rsidRDefault="00B157B6" w:rsidP="003B1BE9">
      <w:pPr>
        <w:spacing w:after="0" w:line="276" w:lineRule="auto"/>
        <w:jc w:val="both"/>
        <w:rPr>
          <w:color w:val="595959" w:themeColor="text1" w:themeTint="A6"/>
        </w:rPr>
      </w:pPr>
    </w:p>
    <w:p w14:paraId="1658AB93" w14:textId="7A7D4DD8" w:rsidR="00B157B6" w:rsidRPr="00575A7E" w:rsidRDefault="00D960BC" w:rsidP="00D960BC">
      <w:pPr>
        <w:pStyle w:val="ae"/>
        <w:jc w:val="center"/>
      </w:pPr>
      <w:bookmarkStart w:id="149" w:name="_Toc67396690"/>
      <w:r>
        <w:t xml:space="preserve">Πίνακας </w:t>
      </w:r>
      <w:r w:rsidR="0096217C">
        <w:rPr>
          <w:noProof/>
        </w:rPr>
        <w:fldChar w:fldCharType="begin"/>
      </w:r>
      <w:r w:rsidR="0096217C">
        <w:rPr>
          <w:noProof/>
        </w:rPr>
        <w:instrText xml:space="preserve"> SEQ Πίνακας \* ARABIC </w:instrText>
      </w:r>
      <w:r w:rsidR="0096217C">
        <w:rPr>
          <w:noProof/>
        </w:rPr>
        <w:fldChar w:fldCharType="separate"/>
      </w:r>
      <w:r w:rsidR="00AE505C">
        <w:rPr>
          <w:noProof/>
        </w:rPr>
        <w:t>11</w:t>
      </w:r>
      <w:r w:rsidR="0096217C">
        <w:rPr>
          <w:noProof/>
        </w:rPr>
        <w:fldChar w:fldCharType="end"/>
      </w:r>
      <w:r w:rsidR="00B157B6" w:rsidRPr="00575A7E">
        <w:t xml:space="preserve"> Αριθμός δικαιούχων επιδομάτων ΟΠΕΚΑ, Ιανουάριος – </w:t>
      </w:r>
      <w:r w:rsidR="008439F2">
        <w:t>Δεκ</w:t>
      </w:r>
      <w:r w:rsidR="00B157B6" w:rsidRPr="00575A7E">
        <w:t>έμβριος 2020</w:t>
      </w:r>
      <w:bookmarkEnd w:id="149"/>
    </w:p>
    <w:tbl>
      <w:tblPr>
        <w:tblStyle w:val="ac"/>
        <w:tblW w:w="0" w:type="auto"/>
        <w:jc w:val="center"/>
        <w:tblLook w:val="04A0" w:firstRow="1" w:lastRow="0" w:firstColumn="1" w:lastColumn="0" w:noHBand="0" w:noVBand="1"/>
      </w:tblPr>
      <w:tblGrid>
        <w:gridCol w:w="854"/>
        <w:gridCol w:w="674"/>
        <w:gridCol w:w="753"/>
        <w:gridCol w:w="580"/>
        <w:gridCol w:w="580"/>
        <w:gridCol w:w="580"/>
        <w:gridCol w:w="580"/>
        <w:gridCol w:w="580"/>
        <w:gridCol w:w="586"/>
        <w:gridCol w:w="690"/>
        <w:gridCol w:w="588"/>
        <w:gridCol w:w="618"/>
        <w:gridCol w:w="643"/>
      </w:tblGrid>
      <w:tr w:rsidR="007E7E9C" w:rsidRPr="00575A7E" w14:paraId="00F91459" w14:textId="77777777" w:rsidTr="00B157B6">
        <w:trPr>
          <w:jc w:val="center"/>
        </w:trPr>
        <w:tc>
          <w:tcPr>
            <w:tcW w:w="854" w:type="dxa"/>
            <w:tcBorders>
              <w:top w:val="nil"/>
              <w:left w:val="nil"/>
              <w:bottom w:val="single" w:sz="4" w:space="0" w:color="auto"/>
              <w:right w:val="nil"/>
            </w:tcBorders>
            <w:vAlign w:val="center"/>
          </w:tcPr>
          <w:p w14:paraId="62BAE843"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p>
        </w:tc>
        <w:tc>
          <w:tcPr>
            <w:tcW w:w="2007" w:type="dxa"/>
            <w:gridSpan w:val="3"/>
            <w:tcBorders>
              <w:top w:val="nil"/>
              <w:left w:val="nil"/>
              <w:bottom w:val="single" w:sz="4" w:space="0" w:color="auto"/>
              <w:right w:val="nil"/>
            </w:tcBorders>
            <w:vAlign w:val="center"/>
          </w:tcPr>
          <w:p w14:paraId="376D4595"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1ο Τρίμηνο</w:t>
            </w:r>
          </w:p>
        </w:tc>
        <w:tc>
          <w:tcPr>
            <w:tcW w:w="1740" w:type="dxa"/>
            <w:gridSpan w:val="3"/>
            <w:tcBorders>
              <w:top w:val="nil"/>
              <w:left w:val="nil"/>
              <w:bottom w:val="single" w:sz="4" w:space="0" w:color="auto"/>
              <w:right w:val="nil"/>
            </w:tcBorders>
            <w:vAlign w:val="center"/>
          </w:tcPr>
          <w:p w14:paraId="7613268A"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2ο Τρίμηνο</w:t>
            </w:r>
          </w:p>
        </w:tc>
        <w:tc>
          <w:tcPr>
            <w:tcW w:w="1856" w:type="dxa"/>
            <w:gridSpan w:val="3"/>
            <w:tcBorders>
              <w:top w:val="nil"/>
              <w:left w:val="nil"/>
              <w:bottom w:val="single" w:sz="4" w:space="0" w:color="auto"/>
              <w:right w:val="nil"/>
            </w:tcBorders>
            <w:vAlign w:val="center"/>
          </w:tcPr>
          <w:p w14:paraId="57BA6BED"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3ο Τρίμηνο</w:t>
            </w:r>
          </w:p>
        </w:tc>
        <w:tc>
          <w:tcPr>
            <w:tcW w:w="1849" w:type="dxa"/>
            <w:gridSpan w:val="3"/>
            <w:tcBorders>
              <w:top w:val="nil"/>
              <w:left w:val="nil"/>
              <w:bottom w:val="single" w:sz="4" w:space="0" w:color="auto"/>
              <w:right w:val="nil"/>
            </w:tcBorders>
            <w:vAlign w:val="center"/>
          </w:tcPr>
          <w:p w14:paraId="25CB3D3D"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4ο Τρίμηνο</w:t>
            </w:r>
          </w:p>
        </w:tc>
      </w:tr>
      <w:tr w:rsidR="007E7E9C" w:rsidRPr="00575A7E" w14:paraId="1938A1D3" w14:textId="77777777" w:rsidTr="00B157B6">
        <w:trPr>
          <w:jc w:val="center"/>
        </w:trPr>
        <w:tc>
          <w:tcPr>
            <w:tcW w:w="854" w:type="dxa"/>
            <w:tcBorders>
              <w:left w:val="nil"/>
              <w:bottom w:val="nil"/>
            </w:tcBorders>
            <w:vAlign w:val="center"/>
          </w:tcPr>
          <w:p w14:paraId="6E8E3CDF"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p>
        </w:tc>
        <w:tc>
          <w:tcPr>
            <w:tcW w:w="674" w:type="dxa"/>
            <w:tcBorders>
              <w:bottom w:val="nil"/>
              <w:right w:val="nil"/>
            </w:tcBorders>
            <w:vAlign w:val="center"/>
          </w:tcPr>
          <w:p w14:paraId="61C22D19" w14:textId="77777777" w:rsidR="007E7E9C" w:rsidRPr="00575A7E" w:rsidRDefault="007E7E9C" w:rsidP="003B1BE9">
            <w:pPr>
              <w:spacing w:line="276" w:lineRule="auto"/>
              <w:ind w:left="56"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ΙΑΝΟΥΑΡΙΟΣ</w:t>
            </w:r>
          </w:p>
        </w:tc>
        <w:tc>
          <w:tcPr>
            <w:tcW w:w="753" w:type="dxa"/>
            <w:tcBorders>
              <w:left w:val="nil"/>
              <w:bottom w:val="nil"/>
              <w:right w:val="nil"/>
            </w:tcBorders>
            <w:vAlign w:val="center"/>
          </w:tcPr>
          <w:p w14:paraId="714907A6" w14:textId="77777777" w:rsidR="007E7E9C" w:rsidRPr="00575A7E" w:rsidRDefault="007E7E9C" w:rsidP="003B1BE9">
            <w:pPr>
              <w:spacing w:line="276" w:lineRule="auto"/>
              <w:ind w:left="56"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ΦΕΒΡΟΥΑΡΙΟΣ</w:t>
            </w:r>
          </w:p>
        </w:tc>
        <w:tc>
          <w:tcPr>
            <w:tcW w:w="580" w:type="dxa"/>
            <w:tcBorders>
              <w:left w:val="nil"/>
              <w:bottom w:val="nil"/>
            </w:tcBorders>
            <w:vAlign w:val="center"/>
          </w:tcPr>
          <w:p w14:paraId="19B756E8"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ΜΑΡΤΙΟΣ</w:t>
            </w:r>
          </w:p>
        </w:tc>
        <w:tc>
          <w:tcPr>
            <w:tcW w:w="580" w:type="dxa"/>
            <w:tcBorders>
              <w:bottom w:val="nil"/>
              <w:right w:val="nil"/>
            </w:tcBorders>
            <w:vAlign w:val="center"/>
          </w:tcPr>
          <w:p w14:paraId="298DAF77"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ΑΠΡΙΛΙΟΣ</w:t>
            </w:r>
          </w:p>
        </w:tc>
        <w:tc>
          <w:tcPr>
            <w:tcW w:w="580" w:type="dxa"/>
            <w:tcBorders>
              <w:left w:val="nil"/>
              <w:bottom w:val="nil"/>
              <w:right w:val="nil"/>
            </w:tcBorders>
            <w:vAlign w:val="center"/>
          </w:tcPr>
          <w:p w14:paraId="3B913003"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ΜΑΪΟΣ</w:t>
            </w:r>
          </w:p>
        </w:tc>
        <w:tc>
          <w:tcPr>
            <w:tcW w:w="580" w:type="dxa"/>
            <w:tcBorders>
              <w:left w:val="nil"/>
              <w:bottom w:val="nil"/>
            </w:tcBorders>
            <w:vAlign w:val="center"/>
          </w:tcPr>
          <w:p w14:paraId="4BEBBD61"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ΙΟΥΝΙΟΣ</w:t>
            </w:r>
          </w:p>
        </w:tc>
        <w:tc>
          <w:tcPr>
            <w:tcW w:w="580" w:type="dxa"/>
            <w:tcBorders>
              <w:bottom w:val="nil"/>
              <w:right w:val="nil"/>
            </w:tcBorders>
            <w:vAlign w:val="center"/>
          </w:tcPr>
          <w:p w14:paraId="2DCD075C"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ΙΟΥΛΙΟΣ</w:t>
            </w:r>
          </w:p>
        </w:tc>
        <w:tc>
          <w:tcPr>
            <w:tcW w:w="586" w:type="dxa"/>
            <w:tcBorders>
              <w:left w:val="nil"/>
              <w:bottom w:val="nil"/>
              <w:right w:val="nil"/>
            </w:tcBorders>
            <w:vAlign w:val="center"/>
          </w:tcPr>
          <w:p w14:paraId="2DA01516"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ΑΥΓΟΥΣΤΟΣ</w:t>
            </w:r>
          </w:p>
        </w:tc>
        <w:tc>
          <w:tcPr>
            <w:tcW w:w="690" w:type="dxa"/>
            <w:tcBorders>
              <w:left w:val="nil"/>
              <w:bottom w:val="nil"/>
            </w:tcBorders>
            <w:vAlign w:val="center"/>
          </w:tcPr>
          <w:p w14:paraId="7155BD76"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ΣΕΠΤΕΜΒΡΙΟΣ</w:t>
            </w:r>
          </w:p>
        </w:tc>
        <w:tc>
          <w:tcPr>
            <w:tcW w:w="588" w:type="dxa"/>
            <w:tcBorders>
              <w:bottom w:val="nil"/>
              <w:right w:val="nil"/>
            </w:tcBorders>
            <w:vAlign w:val="center"/>
          </w:tcPr>
          <w:p w14:paraId="01525B38"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ΟΚΤΩΒΡΙΟΣ</w:t>
            </w:r>
          </w:p>
        </w:tc>
        <w:tc>
          <w:tcPr>
            <w:tcW w:w="618" w:type="dxa"/>
            <w:tcBorders>
              <w:left w:val="nil"/>
              <w:bottom w:val="nil"/>
              <w:right w:val="nil"/>
            </w:tcBorders>
            <w:vAlign w:val="center"/>
          </w:tcPr>
          <w:p w14:paraId="4F8236DB"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ΝΟΕΜΒΡΙΟΣ</w:t>
            </w:r>
          </w:p>
        </w:tc>
        <w:tc>
          <w:tcPr>
            <w:tcW w:w="643" w:type="dxa"/>
            <w:tcBorders>
              <w:left w:val="nil"/>
              <w:bottom w:val="nil"/>
              <w:right w:val="nil"/>
            </w:tcBorders>
            <w:vAlign w:val="center"/>
          </w:tcPr>
          <w:p w14:paraId="517F3C49" w14:textId="77777777" w:rsidR="007E7E9C" w:rsidRPr="00575A7E" w:rsidRDefault="007E7E9C" w:rsidP="003B1BE9">
            <w:pPr>
              <w:spacing w:line="276" w:lineRule="auto"/>
              <w:ind w:hanging="113"/>
              <w:jc w:val="center"/>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ΔΕΚΕΜΒΡΙΟΣ</w:t>
            </w:r>
          </w:p>
        </w:tc>
      </w:tr>
      <w:tr w:rsidR="007E7E9C" w:rsidRPr="00575A7E" w14:paraId="538017A9" w14:textId="77777777" w:rsidTr="00B157B6">
        <w:trPr>
          <w:jc w:val="center"/>
        </w:trPr>
        <w:tc>
          <w:tcPr>
            <w:tcW w:w="854" w:type="dxa"/>
            <w:tcBorders>
              <w:top w:val="nil"/>
              <w:left w:val="nil"/>
              <w:bottom w:val="nil"/>
            </w:tcBorders>
            <w:vAlign w:val="center"/>
          </w:tcPr>
          <w:p w14:paraId="2CA4E54F"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4CFDD061"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753" w:type="dxa"/>
            <w:tcBorders>
              <w:top w:val="nil"/>
              <w:left w:val="nil"/>
              <w:bottom w:val="nil"/>
              <w:right w:val="nil"/>
            </w:tcBorders>
            <w:vAlign w:val="center"/>
          </w:tcPr>
          <w:p w14:paraId="402FFA6C"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0" w:type="dxa"/>
            <w:tcBorders>
              <w:top w:val="nil"/>
              <w:left w:val="nil"/>
              <w:bottom w:val="nil"/>
            </w:tcBorders>
            <w:vAlign w:val="center"/>
          </w:tcPr>
          <w:p w14:paraId="0BA6CB44"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0" w:type="dxa"/>
            <w:tcBorders>
              <w:top w:val="nil"/>
              <w:bottom w:val="nil"/>
              <w:right w:val="nil"/>
            </w:tcBorders>
            <w:vAlign w:val="center"/>
          </w:tcPr>
          <w:p w14:paraId="18D0B4DD"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0" w:type="dxa"/>
            <w:tcBorders>
              <w:top w:val="nil"/>
              <w:left w:val="nil"/>
              <w:bottom w:val="nil"/>
              <w:right w:val="nil"/>
            </w:tcBorders>
            <w:vAlign w:val="center"/>
          </w:tcPr>
          <w:p w14:paraId="19B74EDD"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0" w:type="dxa"/>
            <w:tcBorders>
              <w:top w:val="nil"/>
              <w:left w:val="nil"/>
              <w:bottom w:val="nil"/>
            </w:tcBorders>
            <w:vAlign w:val="center"/>
          </w:tcPr>
          <w:p w14:paraId="28594030"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0" w:type="dxa"/>
            <w:tcBorders>
              <w:top w:val="nil"/>
              <w:bottom w:val="nil"/>
              <w:right w:val="nil"/>
            </w:tcBorders>
            <w:vAlign w:val="center"/>
          </w:tcPr>
          <w:p w14:paraId="03004B5B"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6" w:type="dxa"/>
            <w:tcBorders>
              <w:top w:val="nil"/>
              <w:left w:val="nil"/>
              <w:bottom w:val="nil"/>
              <w:right w:val="nil"/>
            </w:tcBorders>
            <w:vAlign w:val="center"/>
          </w:tcPr>
          <w:p w14:paraId="3D579456"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90" w:type="dxa"/>
            <w:tcBorders>
              <w:top w:val="nil"/>
              <w:left w:val="nil"/>
              <w:bottom w:val="nil"/>
            </w:tcBorders>
            <w:vAlign w:val="center"/>
          </w:tcPr>
          <w:p w14:paraId="63E27C83"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588" w:type="dxa"/>
            <w:tcBorders>
              <w:top w:val="nil"/>
              <w:bottom w:val="nil"/>
              <w:right w:val="nil"/>
            </w:tcBorders>
            <w:vAlign w:val="center"/>
          </w:tcPr>
          <w:p w14:paraId="02CF9332"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18" w:type="dxa"/>
            <w:tcBorders>
              <w:top w:val="nil"/>
              <w:left w:val="nil"/>
              <w:bottom w:val="nil"/>
              <w:right w:val="nil"/>
            </w:tcBorders>
            <w:vAlign w:val="center"/>
          </w:tcPr>
          <w:p w14:paraId="704EA453"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43" w:type="dxa"/>
            <w:tcBorders>
              <w:top w:val="nil"/>
              <w:left w:val="nil"/>
              <w:bottom w:val="nil"/>
              <w:right w:val="nil"/>
            </w:tcBorders>
            <w:vAlign w:val="center"/>
          </w:tcPr>
          <w:p w14:paraId="14030915"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r>
      <w:tr w:rsidR="007E7E9C" w:rsidRPr="00575A7E" w14:paraId="243452AF" w14:textId="77777777" w:rsidTr="00B157B6">
        <w:trPr>
          <w:jc w:val="center"/>
        </w:trPr>
        <w:tc>
          <w:tcPr>
            <w:tcW w:w="854" w:type="dxa"/>
            <w:tcBorders>
              <w:top w:val="nil"/>
              <w:left w:val="nil"/>
              <w:bottom w:val="nil"/>
            </w:tcBorders>
            <w:vAlign w:val="center"/>
          </w:tcPr>
          <w:p w14:paraId="74188E99"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Στέγασης</w:t>
            </w:r>
          </w:p>
        </w:tc>
        <w:tc>
          <w:tcPr>
            <w:tcW w:w="674" w:type="dxa"/>
            <w:tcBorders>
              <w:top w:val="nil"/>
              <w:bottom w:val="nil"/>
              <w:right w:val="nil"/>
            </w:tcBorders>
            <w:vAlign w:val="center"/>
          </w:tcPr>
          <w:p w14:paraId="6D238C7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245.632</w:t>
            </w:r>
          </w:p>
        </w:tc>
        <w:tc>
          <w:tcPr>
            <w:tcW w:w="753" w:type="dxa"/>
            <w:tcBorders>
              <w:top w:val="nil"/>
              <w:left w:val="nil"/>
              <w:bottom w:val="nil"/>
              <w:right w:val="nil"/>
            </w:tcBorders>
            <w:vAlign w:val="center"/>
          </w:tcPr>
          <w:p w14:paraId="07D0F8C5"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251.883</w:t>
            </w:r>
          </w:p>
        </w:tc>
        <w:tc>
          <w:tcPr>
            <w:tcW w:w="580" w:type="dxa"/>
            <w:tcBorders>
              <w:top w:val="nil"/>
              <w:left w:val="nil"/>
              <w:bottom w:val="nil"/>
            </w:tcBorders>
            <w:vAlign w:val="center"/>
          </w:tcPr>
          <w:p w14:paraId="76E445F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257.626</w:t>
            </w:r>
          </w:p>
        </w:tc>
        <w:tc>
          <w:tcPr>
            <w:tcW w:w="580" w:type="dxa"/>
            <w:tcBorders>
              <w:top w:val="nil"/>
              <w:bottom w:val="nil"/>
              <w:right w:val="nil"/>
            </w:tcBorders>
            <w:vAlign w:val="center"/>
          </w:tcPr>
          <w:p w14:paraId="2E5C77C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263.888</w:t>
            </w:r>
          </w:p>
        </w:tc>
        <w:tc>
          <w:tcPr>
            <w:tcW w:w="580" w:type="dxa"/>
            <w:tcBorders>
              <w:top w:val="nil"/>
              <w:left w:val="nil"/>
              <w:bottom w:val="nil"/>
              <w:right w:val="nil"/>
            </w:tcBorders>
            <w:vAlign w:val="center"/>
          </w:tcPr>
          <w:p w14:paraId="2C6D15D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268.703</w:t>
            </w:r>
          </w:p>
        </w:tc>
        <w:tc>
          <w:tcPr>
            <w:tcW w:w="580" w:type="dxa"/>
            <w:tcBorders>
              <w:top w:val="nil"/>
              <w:left w:val="nil"/>
              <w:bottom w:val="nil"/>
            </w:tcBorders>
            <w:vAlign w:val="center"/>
          </w:tcPr>
          <w:p w14:paraId="6FEBCA8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243.082</w:t>
            </w:r>
          </w:p>
        </w:tc>
        <w:tc>
          <w:tcPr>
            <w:tcW w:w="580" w:type="dxa"/>
            <w:tcBorders>
              <w:top w:val="nil"/>
              <w:bottom w:val="nil"/>
              <w:right w:val="nil"/>
            </w:tcBorders>
            <w:vAlign w:val="center"/>
          </w:tcPr>
          <w:p w14:paraId="43C636D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225.558</w:t>
            </w:r>
          </w:p>
        </w:tc>
        <w:tc>
          <w:tcPr>
            <w:tcW w:w="586" w:type="dxa"/>
            <w:tcBorders>
              <w:top w:val="nil"/>
              <w:left w:val="nil"/>
              <w:bottom w:val="nil"/>
              <w:right w:val="nil"/>
            </w:tcBorders>
            <w:vAlign w:val="center"/>
          </w:tcPr>
          <w:p w14:paraId="2633028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216.834</w:t>
            </w:r>
          </w:p>
        </w:tc>
        <w:tc>
          <w:tcPr>
            <w:tcW w:w="690" w:type="dxa"/>
            <w:tcBorders>
              <w:top w:val="nil"/>
              <w:left w:val="nil"/>
              <w:bottom w:val="nil"/>
            </w:tcBorders>
            <w:vAlign w:val="center"/>
          </w:tcPr>
          <w:p w14:paraId="0DF45A1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227.317</w:t>
            </w:r>
          </w:p>
        </w:tc>
        <w:tc>
          <w:tcPr>
            <w:tcW w:w="588" w:type="dxa"/>
            <w:tcBorders>
              <w:top w:val="nil"/>
              <w:bottom w:val="nil"/>
              <w:right w:val="nil"/>
            </w:tcBorders>
            <w:vAlign w:val="center"/>
          </w:tcPr>
          <w:p w14:paraId="72302F6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218.020</w:t>
            </w:r>
          </w:p>
        </w:tc>
        <w:tc>
          <w:tcPr>
            <w:tcW w:w="618" w:type="dxa"/>
            <w:tcBorders>
              <w:top w:val="nil"/>
              <w:left w:val="nil"/>
              <w:bottom w:val="nil"/>
              <w:right w:val="nil"/>
            </w:tcBorders>
            <w:vAlign w:val="center"/>
          </w:tcPr>
          <w:p w14:paraId="3D96FAC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227.834</w:t>
            </w:r>
          </w:p>
        </w:tc>
        <w:tc>
          <w:tcPr>
            <w:tcW w:w="643" w:type="dxa"/>
            <w:tcBorders>
              <w:top w:val="nil"/>
              <w:left w:val="nil"/>
              <w:bottom w:val="nil"/>
              <w:right w:val="nil"/>
            </w:tcBorders>
            <w:vAlign w:val="center"/>
          </w:tcPr>
          <w:p w14:paraId="641F6A0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247.526</w:t>
            </w:r>
          </w:p>
        </w:tc>
      </w:tr>
      <w:tr w:rsidR="007E7E9C" w:rsidRPr="00575A7E" w14:paraId="62E36994" w14:textId="77777777" w:rsidTr="00B157B6">
        <w:trPr>
          <w:jc w:val="center"/>
        </w:trPr>
        <w:tc>
          <w:tcPr>
            <w:tcW w:w="854" w:type="dxa"/>
            <w:tcBorders>
              <w:top w:val="nil"/>
              <w:left w:val="nil"/>
              <w:bottom w:val="nil"/>
            </w:tcBorders>
            <w:vAlign w:val="center"/>
          </w:tcPr>
          <w:p w14:paraId="0654D4E0"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7F774BE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1EA87F9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4132A7A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4F55B00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254F66B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7223863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57DFE33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431D621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5949F34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05062D6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5909918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5F1FD2B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1BF70394" w14:textId="77777777" w:rsidTr="00B157B6">
        <w:trPr>
          <w:jc w:val="center"/>
        </w:trPr>
        <w:tc>
          <w:tcPr>
            <w:tcW w:w="854" w:type="dxa"/>
            <w:tcBorders>
              <w:top w:val="nil"/>
              <w:left w:val="nil"/>
              <w:bottom w:val="nil"/>
            </w:tcBorders>
            <w:vAlign w:val="center"/>
          </w:tcPr>
          <w:p w14:paraId="49564E52"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Ελάχιστο εγγυημένο εισόδημα</w:t>
            </w:r>
          </w:p>
        </w:tc>
        <w:tc>
          <w:tcPr>
            <w:tcW w:w="674" w:type="dxa"/>
            <w:tcBorders>
              <w:top w:val="nil"/>
              <w:bottom w:val="nil"/>
              <w:right w:val="nil"/>
            </w:tcBorders>
            <w:vAlign w:val="center"/>
          </w:tcPr>
          <w:p w14:paraId="0F078DC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245.961</w:t>
            </w:r>
          </w:p>
        </w:tc>
        <w:tc>
          <w:tcPr>
            <w:tcW w:w="753" w:type="dxa"/>
            <w:tcBorders>
              <w:top w:val="nil"/>
              <w:left w:val="nil"/>
              <w:bottom w:val="nil"/>
              <w:right w:val="nil"/>
            </w:tcBorders>
            <w:vAlign w:val="center"/>
          </w:tcPr>
          <w:p w14:paraId="2FD7245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231.311</w:t>
            </w:r>
          </w:p>
        </w:tc>
        <w:tc>
          <w:tcPr>
            <w:tcW w:w="580" w:type="dxa"/>
            <w:tcBorders>
              <w:top w:val="nil"/>
              <w:left w:val="nil"/>
              <w:bottom w:val="nil"/>
            </w:tcBorders>
            <w:vAlign w:val="center"/>
          </w:tcPr>
          <w:p w14:paraId="6B9B2DD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231.659</w:t>
            </w:r>
          </w:p>
        </w:tc>
        <w:tc>
          <w:tcPr>
            <w:tcW w:w="580" w:type="dxa"/>
            <w:tcBorders>
              <w:top w:val="nil"/>
              <w:bottom w:val="nil"/>
              <w:right w:val="nil"/>
            </w:tcBorders>
            <w:vAlign w:val="center"/>
          </w:tcPr>
          <w:p w14:paraId="3B3BAA4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236.831</w:t>
            </w:r>
          </w:p>
        </w:tc>
        <w:tc>
          <w:tcPr>
            <w:tcW w:w="580" w:type="dxa"/>
            <w:tcBorders>
              <w:top w:val="nil"/>
              <w:left w:val="nil"/>
              <w:bottom w:val="nil"/>
              <w:right w:val="nil"/>
            </w:tcBorders>
            <w:vAlign w:val="center"/>
          </w:tcPr>
          <w:p w14:paraId="7B00B07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241.776</w:t>
            </w:r>
          </w:p>
        </w:tc>
        <w:tc>
          <w:tcPr>
            <w:tcW w:w="580" w:type="dxa"/>
            <w:tcBorders>
              <w:top w:val="nil"/>
              <w:left w:val="nil"/>
              <w:bottom w:val="nil"/>
            </w:tcBorders>
            <w:vAlign w:val="center"/>
          </w:tcPr>
          <w:p w14:paraId="647EF8C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240.066</w:t>
            </w:r>
          </w:p>
        </w:tc>
        <w:tc>
          <w:tcPr>
            <w:tcW w:w="580" w:type="dxa"/>
            <w:tcBorders>
              <w:top w:val="nil"/>
              <w:bottom w:val="nil"/>
              <w:right w:val="nil"/>
            </w:tcBorders>
            <w:vAlign w:val="center"/>
          </w:tcPr>
          <w:p w14:paraId="761A0C6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223.920</w:t>
            </w:r>
          </w:p>
        </w:tc>
        <w:tc>
          <w:tcPr>
            <w:tcW w:w="586" w:type="dxa"/>
            <w:tcBorders>
              <w:top w:val="nil"/>
              <w:left w:val="nil"/>
              <w:bottom w:val="nil"/>
              <w:right w:val="nil"/>
            </w:tcBorders>
            <w:vAlign w:val="center"/>
          </w:tcPr>
          <w:p w14:paraId="605ADB2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219.446</w:t>
            </w:r>
          </w:p>
        </w:tc>
        <w:tc>
          <w:tcPr>
            <w:tcW w:w="690" w:type="dxa"/>
            <w:tcBorders>
              <w:top w:val="nil"/>
              <w:left w:val="nil"/>
              <w:bottom w:val="nil"/>
            </w:tcBorders>
            <w:vAlign w:val="center"/>
          </w:tcPr>
          <w:p w14:paraId="189569D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228.316</w:t>
            </w:r>
          </w:p>
        </w:tc>
        <w:tc>
          <w:tcPr>
            <w:tcW w:w="588" w:type="dxa"/>
            <w:tcBorders>
              <w:top w:val="nil"/>
              <w:bottom w:val="nil"/>
              <w:right w:val="nil"/>
            </w:tcBorders>
            <w:vAlign w:val="center"/>
          </w:tcPr>
          <w:p w14:paraId="37092ED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242.632</w:t>
            </w:r>
          </w:p>
        </w:tc>
        <w:tc>
          <w:tcPr>
            <w:tcW w:w="618" w:type="dxa"/>
            <w:tcBorders>
              <w:top w:val="nil"/>
              <w:left w:val="nil"/>
              <w:bottom w:val="nil"/>
              <w:right w:val="nil"/>
            </w:tcBorders>
            <w:vAlign w:val="center"/>
          </w:tcPr>
          <w:p w14:paraId="76561B75"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249.316</w:t>
            </w:r>
          </w:p>
        </w:tc>
        <w:tc>
          <w:tcPr>
            <w:tcW w:w="643" w:type="dxa"/>
            <w:tcBorders>
              <w:top w:val="nil"/>
              <w:left w:val="nil"/>
              <w:bottom w:val="nil"/>
              <w:right w:val="nil"/>
            </w:tcBorders>
            <w:vAlign w:val="center"/>
          </w:tcPr>
          <w:p w14:paraId="60684A4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257.452</w:t>
            </w:r>
          </w:p>
        </w:tc>
      </w:tr>
      <w:tr w:rsidR="007E7E9C" w:rsidRPr="00575A7E" w14:paraId="36072A5E" w14:textId="77777777" w:rsidTr="00B157B6">
        <w:trPr>
          <w:jc w:val="center"/>
        </w:trPr>
        <w:tc>
          <w:tcPr>
            <w:tcW w:w="854" w:type="dxa"/>
            <w:tcBorders>
              <w:top w:val="nil"/>
              <w:left w:val="nil"/>
              <w:bottom w:val="nil"/>
            </w:tcBorders>
            <w:vAlign w:val="center"/>
          </w:tcPr>
          <w:p w14:paraId="6E51008E"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348F45D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7777257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30E62B3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0913B72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5466A13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0043CED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4461E9D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7B55972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1D93BF0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48145B1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4FF667C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3AF7230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68EC4D2D" w14:textId="77777777" w:rsidTr="00B157B6">
        <w:trPr>
          <w:jc w:val="center"/>
        </w:trPr>
        <w:tc>
          <w:tcPr>
            <w:tcW w:w="854" w:type="dxa"/>
            <w:tcBorders>
              <w:top w:val="nil"/>
              <w:left w:val="nil"/>
              <w:bottom w:val="nil"/>
            </w:tcBorders>
            <w:vAlign w:val="center"/>
          </w:tcPr>
          <w:p w14:paraId="4BF130CA"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Αναπηρικά</w:t>
            </w:r>
          </w:p>
        </w:tc>
        <w:tc>
          <w:tcPr>
            <w:tcW w:w="674" w:type="dxa"/>
            <w:tcBorders>
              <w:top w:val="nil"/>
              <w:bottom w:val="nil"/>
              <w:right w:val="nil"/>
            </w:tcBorders>
            <w:vAlign w:val="center"/>
          </w:tcPr>
          <w:p w14:paraId="7EE98AA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157.464</w:t>
            </w:r>
          </w:p>
        </w:tc>
        <w:tc>
          <w:tcPr>
            <w:tcW w:w="753" w:type="dxa"/>
            <w:tcBorders>
              <w:top w:val="nil"/>
              <w:left w:val="nil"/>
              <w:bottom w:val="nil"/>
              <w:right w:val="nil"/>
            </w:tcBorders>
            <w:vAlign w:val="center"/>
          </w:tcPr>
          <w:p w14:paraId="6078F74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159.281</w:t>
            </w:r>
          </w:p>
        </w:tc>
        <w:tc>
          <w:tcPr>
            <w:tcW w:w="580" w:type="dxa"/>
            <w:tcBorders>
              <w:top w:val="nil"/>
              <w:left w:val="nil"/>
              <w:bottom w:val="nil"/>
            </w:tcBorders>
            <w:vAlign w:val="center"/>
          </w:tcPr>
          <w:p w14:paraId="1BB2DA6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158.102</w:t>
            </w:r>
          </w:p>
        </w:tc>
        <w:tc>
          <w:tcPr>
            <w:tcW w:w="580" w:type="dxa"/>
            <w:tcBorders>
              <w:top w:val="nil"/>
              <w:bottom w:val="nil"/>
              <w:right w:val="nil"/>
            </w:tcBorders>
            <w:vAlign w:val="center"/>
          </w:tcPr>
          <w:p w14:paraId="3770533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166.225</w:t>
            </w:r>
          </w:p>
        </w:tc>
        <w:tc>
          <w:tcPr>
            <w:tcW w:w="580" w:type="dxa"/>
            <w:tcBorders>
              <w:top w:val="nil"/>
              <w:left w:val="nil"/>
              <w:bottom w:val="nil"/>
              <w:right w:val="nil"/>
            </w:tcBorders>
            <w:vAlign w:val="center"/>
          </w:tcPr>
          <w:p w14:paraId="6B35439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165.984</w:t>
            </w:r>
          </w:p>
        </w:tc>
        <w:tc>
          <w:tcPr>
            <w:tcW w:w="580" w:type="dxa"/>
            <w:tcBorders>
              <w:top w:val="nil"/>
              <w:left w:val="nil"/>
              <w:bottom w:val="nil"/>
            </w:tcBorders>
            <w:vAlign w:val="center"/>
          </w:tcPr>
          <w:p w14:paraId="756FC7A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165.890</w:t>
            </w:r>
          </w:p>
        </w:tc>
        <w:tc>
          <w:tcPr>
            <w:tcW w:w="580" w:type="dxa"/>
            <w:tcBorders>
              <w:top w:val="nil"/>
              <w:bottom w:val="nil"/>
              <w:right w:val="nil"/>
            </w:tcBorders>
            <w:vAlign w:val="center"/>
          </w:tcPr>
          <w:p w14:paraId="5C4C62E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166.694</w:t>
            </w:r>
          </w:p>
        </w:tc>
        <w:tc>
          <w:tcPr>
            <w:tcW w:w="586" w:type="dxa"/>
            <w:tcBorders>
              <w:top w:val="nil"/>
              <w:left w:val="nil"/>
              <w:bottom w:val="nil"/>
              <w:right w:val="nil"/>
            </w:tcBorders>
            <w:vAlign w:val="center"/>
          </w:tcPr>
          <w:p w14:paraId="797B527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167.235</w:t>
            </w:r>
          </w:p>
        </w:tc>
        <w:tc>
          <w:tcPr>
            <w:tcW w:w="690" w:type="dxa"/>
            <w:tcBorders>
              <w:top w:val="nil"/>
              <w:left w:val="nil"/>
              <w:bottom w:val="nil"/>
            </w:tcBorders>
            <w:vAlign w:val="center"/>
          </w:tcPr>
          <w:p w14:paraId="0B18A16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168.023</w:t>
            </w:r>
          </w:p>
        </w:tc>
        <w:tc>
          <w:tcPr>
            <w:tcW w:w="588" w:type="dxa"/>
            <w:tcBorders>
              <w:top w:val="nil"/>
              <w:bottom w:val="nil"/>
              <w:right w:val="nil"/>
            </w:tcBorders>
            <w:vAlign w:val="center"/>
          </w:tcPr>
          <w:p w14:paraId="4AF519E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168.325</w:t>
            </w:r>
          </w:p>
        </w:tc>
        <w:tc>
          <w:tcPr>
            <w:tcW w:w="618" w:type="dxa"/>
            <w:tcBorders>
              <w:top w:val="nil"/>
              <w:left w:val="nil"/>
              <w:bottom w:val="nil"/>
              <w:right w:val="nil"/>
            </w:tcBorders>
            <w:vAlign w:val="center"/>
          </w:tcPr>
          <w:p w14:paraId="37EE935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168.830</w:t>
            </w:r>
          </w:p>
        </w:tc>
        <w:tc>
          <w:tcPr>
            <w:tcW w:w="643" w:type="dxa"/>
            <w:tcBorders>
              <w:top w:val="nil"/>
              <w:left w:val="nil"/>
              <w:bottom w:val="nil"/>
              <w:right w:val="nil"/>
            </w:tcBorders>
            <w:vAlign w:val="center"/>
          </w:tcPr>
          <w:p w14:paraId="56968EA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169.724</w:t>
            </w:r>
          </w:p>
        </w:tc>
      </w:tr>
      <w:tr w:rsidR="007E7E9C" w:rsidRPr="00575A7E" w14:paraId="786F1F5E" w14:textId="77777777" w:rsidTr="00B157B6">
        <w:trPr>
          <w:jc w:val="center"/>
        </w:trPr>
        <w:tc>
          <w:tcPr>
            <w:tcW w:w="854" w:type="dxa"/>
            <w:tcBorders>
              <w:top w:val="nil"/>
              <w:left w:val="nil"/>
              <w:bottom w:val="nil"/>
            </w:tcBorders>
            <w:vAlign w:val="center"/>
          </w:tcPr>
          <w:p w14:paraId="4C599861"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2437A3B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058FB11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7488A50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392EEA4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57DFB58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3C4424A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1D3E28D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74B2106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6E2C3E1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32580B1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76AE7DD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1F1EB76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4C9E45F8" w14:textId="77777777" w:rsidTr="00B157B6">
        <w:trPr>
          <w:jc w:val="center"/>
        </w:trPr>
        <w:tc>
          <w:tcPr>
            <w:tcW w:w="854" w:type="dxa"/>
            <w:tcBorders>
              <w:top w:val="nil"/>
              <w:left w:val="nil"/>
              <w:bottom w:val="nil"/>
            </w:tcBorders>
            <w:vAlign w:val="center"/>
          </w:tcPr>
          <w:p w14:paraId="5A134C63"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Ανασφάλιστοι υπερήλικες</w:t>
            </w:r>
          </w:p>
        </w:tc>
        <w:tc>
          <w:tcPr>
            <w:tcW w:w="674" w:type="dxa"/>
            <w:tcBorders>
              <w:top w:val="nil"/>
              <w:bottom w:val="nil"/>
              <w:right w:val="nil"/>
            </w:tcBorders>
            <w:vAlign w:val="center"/>
          </w:tcPr>
          <w:p w14:paraId="316659E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23.029</w:t>
            </w:r>
          </w:p>
        </w:tc>
        <w:tc>
          <w:tcPr>
            <w:tcW w:w="753" w:type="dxa"/>
            <w:tcBorders>
              <w:top w:val="nil"/>
              <w:left w:val="nil"/>
              <w:bottom w:val="nil"/>
              <w:right w:val="nil"/>
            </w:tcBorders>
            <w:vAlign w:val="center"/>
          </w:tcPr>
          <w:p w14:paraId="3E93573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22.859</w:t>
            </w:r>
          </w:p>
        </w:tc>
        <w:tc>
          <w:tcPr>
            <w:tcW w:w="580" w:type="dxa"/>
            <w:tcBorders>
              <w:top w:val="nil"/>
              <w:left w:val="nil"/>
              <w:bottom w:val="nil"/>
            </w:tcBorders>
            <w:vAlign w:val="center"/>
          </w:tcPr>
          <w:p w14:paraId="3584EB1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22.634</w:t>
            </w:r>
          </w:p>
        </w:tc>
        <w:tc>
          <w:tcPr>
            <w:tcW w:w="580" w:type="dxa"/>
            <w:tcBorders>
              <w:top w:val="nil"/>
              <w:bottom w:val="nil"/>
              <w:right w:val="nil"/>
            </w:tcBorders>
            <w:vAlign w:val="center"/>
          </w:tcPr>
          <w:p w14:paraId="473A8CB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21.463</w:t>
            </w:r>
          </w:p>
        </w:tc>
        <w:tc>
          <w:tcPr>
            <w:tcW w:w="580" w:type="dxa"/>
            <w:tcBorders>
              <w:top w:val="nil"/>
              <w:left w:val="nil"/>
              <w:bottom w:val="nil"/>
              <w:right w:val="nil"/>
            </w:tcBorders>
            <w:vAlign w:val="center"/>
          </w:tcPr>
          <w:p w14:paraId="2C363D4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22.292</w:t>
            </w:r>
          </w:p>
        </w:tc>
        <w:tc>
          <w:tcPr>
            <w:tcW w:w="580" w:type="dxa"/>
            <w:tcBorders>
              <w:top w:val="nil"/>
              <w:left w:val="nil"/>
              <w:bottom w:val="nil"/>
            </w:tcBorders>
            <w:vAlign w:val="center"/>
          </w:tcPr>
          <w:p w14:paraId="37D88D2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22.140</w:t>
            </w:r>
          </w:p>
        </w:tc>
        <w:tc>
          <w:tcPr>
            <w:tcW w:w="580" w:type="dxa"/>
            <w:tcBorders>
              <w:top w:val="nil"/>
              <w:bottom w:val="nil"/>
              <w:right w:val="nil"/>
            </w:tcBorders>
            <w:vAlign w:val="center"/>
          </w:tcPr>
          <w:p w14:paraId="09AAEC6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22.129</w:t>
            </w:r>
          </w:p>
        </w:tc>
        <w:tc>
          <w:tcPr>
            <w:tcW w:w="586" w:type="dxa"/>
            <w:tcBorders>
              <w:top w:val="nil"/>
              <w:left w:val="nil"/>
              <w:bottom w:val="nil"/>
              <w:right w:val="nil"/>
            </w:tcBorders>
            <w:vAlign w:val="center"/>
          </w:tcPr>
          <w:p w14:paraId="7D3BF4D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21.790</w:t>
            </w:r>
          </w:p>
        </w:tc>
        <w:tc>
          <w:tcPr>
            <w:tcW w:w="690" w:type="dxa"/>
            <w:tcBorders>
              <w:top w:val="nil"/>
              <w:left w:val="nil"/>
              <w:bottom w:val="nil"/>
            </w:tcBorders>
            <w:vAlign w:val="center"/>
          </w:tcPr>
          <w:p w14:paraId="002D02F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21.594</w:t>
            </w:r>
          </w:p>
        </w:tc>
        <w:tc>
          <w:tcPr>
            <w:tcW w:w="588" w:type="dxa"/>
            <w:tcBorders>
              <w:top w:val="nil"/>
              <w:bottom w:val="nil"/>
              <w:right w:val="nil"/>
            </w:tcBorders>
            <w:vAlign w:val="center"/>
          </w:tcPr>
          <w:p w14:paraId="59D7D1B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21.460</w:t>
            </w:r>
          </w:p>
        </w:tc>
        <w:tc>
          <w:tcPr>
            <w:tcW w:w="618" w:type="dxa"/>
            <w:tcBorders>
              <w:top w:val="nil"/>
              <w:left w:val="nil"/>
              <w:bottom w:val="nil"/>
              <w:right w:val="nil"/>
            </w:tcBorders>
            <w:vAlign w:val="center"/>
          </w:tcPr>
          <w:p w14:paraId="4795295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21.123</w:t>
            </w:r>
          </w:p>
        </w:tc>
        <w:tc>
          <w:tcPr>
            <w:tcW w:w="643" w:type="dxa"/>
            <w:tcBorders>
              <w:top w:val="nil"/>
              <w:left w:val="nil"/>
              <w:bottom w:val="nil"/>
              <w:right w:val="nil"/>
            </w:tcBorders>
            <w:vAlign w:val="center"/>
          </w:tcPr>
          <w:p w14:paraId="4060620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20.904</w:t>
            </w:r>
          </w:p>
        </w:tc>
      </w:tr>
      <w:tr w:rsidR="007E7E9C" w:rsidRPr="00575A7E" w14:paraId="7EC541FB" w14:textId="77777777" w:rsidTr="00B157B6">
        <w:trPr>
          <w:jc w:val="center"/>
        </w:trPr>
        <w:tc>
          <w:tcPr>
            <w:tcW w:w="854" w:type="dxa"/>
            <w:tcBorders>
              <w:top w:val="nil"/>
              <w:left w:val="nil"/>
              <w:bottom w:val="nil"/>
            </w:tcBorders>
            <w:vAlign w:val="center"/>
          </w:tcPr>
          <w:p w14:paraId="6EEF0C3D"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63B5757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4369745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3FA1C47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3BFBCBC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45C6298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5E33E06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0734D0B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1038F67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7455281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01EF34C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50C7671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0CCBBAA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53E64EFC" w14:textId="77777777" w:rsidTr="00B157B6">
        <w:trPr>
          <w:jc w:val="center"/>
        </w:trPr>
        <w:tc>
          <w:tcPr>
            <w:tcW w:w="854" w:type="dxa"/>
            <w:tcBorders>
              <w:top w:val="nil"/>
              <w:left w:val="nil"/>
              <w:bottom w:val="nil"/>
            </w:tcBorders>
            <w:vAlign w:val="center"/>
          </w:tcPr>
          <w:p w14:paraId="708130CB"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Επίδομα κοινωνικής αλληλεγγύης υπερηλίκων</w:t>
            </w:r>
          </w:p>
        </w:tc>
        <w:tc>
          <w:tcPr>
            <w:tcW w:w="674" w:type="dxa"/>
            <w:tcBorders>
              <w:top w:val="nil"/>
              <w:bottom w:val="nil"/>
              <w:right w:val="nil"/>
            </w:tcBorders>
            <w:vAlign w:val="center"/>
          </w:tcPr>
          <w:p w14:paraId="2739CA4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11.551</w:t>
            </w:r>
          </w:p>
        </w:tc>
        <w:tc>
          <w:tcPr>
            <w:tcW w:w="753" w:type="dxa"/>
            <w:tcBorders>
              <w:top w:val="nil"/>
              <w:left w:val="nil"/>
              <w:bottom w:val="nil"/>
              <w:right w:val="nil"/>
            </w:tcBorders>
            <w:vAlign w:val="center"/>
          </w:tcPr>
          <w:p w14:paraId="6F11698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11.786</w:t>
            </w:r>
          </w:p>
        </w:tc>
        <w:tc>
          <w:tcPr>
            <w:tcW w:w="580" w:type="dxa"/>
            <w:tcBorders>
              <w:top w:val="nil"/>
              <w:left w:val="nil"/>
              <w:bottom w:val="nil"/>
            </w:tcBorders>
            <w:vAlign w:val="center"/>
          </w:tcPr>
          <w:p w14:paraId="0A0AE75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11.941</w:t>
            </w:r>
          </w:p>
        </w:tc>
        <w:tc>
          <w:tcPr>
            <w:tcW w:w="580" w:type="dxa"/>
            <w:tcBorders>
              <w:top w:val="nil"/>
              <w:bottom w:val="nil"/>
              <w:right w:val="nil"/>
            </w:tcBorders>
            <w:vAlign w:val="center"/>
          </w:tcPr>
          <w:p w14:paraId="5F59D98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12.194</w:t>
            </w:r>
          </w:p>
        </w:tc>
        <w:tc>
          <w:tcPr>
            <w:tcW w:w="580" w:type="dxa"/>
            <w:tcBorders>
              <w:top w:val="nil"/>
              <w:left w:val="nil"/>
              <w:bottom w:val="nil"/>
              <w:right w:val="nil"/>
            </w:tcBorders>
            <w:vAlign w:val="center"/>
          </w:tcPr>
          <w:p w14:paraId="14FB29F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12.371</w:t>
            </w:r>
          </w:p>
        </w:tc>
        <w:tc>
          <w:tcPr>
            <w:tcW w:w="580" w:type="dxa"/>
            <w:tcBorders>
              <w:top w:val="nil"/>
              <w:left w:val="nil"/>
              <w:bottom w:val="nil"/>
            </w:tcBorders>
            <w:vAlign w:val="center"/>
          </w:tcPr>
          <w:p w14:paraId="0285063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12.530</w:t>
            </w:r>
          </w:p>
        </w:tc>
        <w:tc>
          <w:tcPr>
            <w:tcW w:w="580" w:type="dxa"/>
            <w:tcBorders>
              <w:top w:val="nil"/>
              <w:bottom w:val="nil"/>
              <w:right w:val="nil"/>
            </w:tcBorders>
            <w:vAlign w:val="center"/>
          </w:tcPr>
          <w:p w14:paraId="444BB1D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12.751</w:t>
            </w:r>
          </w:p>
        </w:tc>
        <w:tc>
          <w:tcPr>
            <w:tcW w:w="586" w:type="dxa"/>
            <w:tcBorders>
              <w:top w:val="nil"/>
              <w:left w:val="nil"/>
              <w:bottom w:val="nil"/>
              <w:right w:val="nil"/>
            </w:tcBorders>
            <w:vAlign w:val="center"/>
          </w:tcPr>
          <w:p w14:paraId="26F23A6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12.915</w:t>
            </w:r>
          </w:p>
        </w:tc>
        <w:tc>
          <w:tcPr>
            <w:tcW w:w="690" w:type="dxa"/>
            <w:tcBorders>
              <w:top w:val="nil"/>
              <w:left w:val="nil"/>
              <w:bottom w:val="nil"/>
            </w:tcBorders>
            <w:vAlign w:val="center"/>
          </w:tcPr>
          <w:p w14:paraId="35B691B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13.154</w:t>
            </w:r>
          </w:p>
        </w:tc>
        <w:tc>
          <w:tcPr>
            <w:tcW w:w="588" w:type="dxa"/>
            <w:tcBorders>
              <w:top w:val="nil"/>
              <w:bottom w:val="nil"/>
              <w:right w:val="nil"/>
            </w:tcBorders>
            <w:vAlign w:val="center"/>
          </w:tcPr>
          <w:p w14:paraId="3800608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13.495</w:t>
            </w:r>
          </w:p>
        </w:tc>
        <w:tc>
          <w:tcPr>
            <w:tcW w:w="618" w:type="dxa"/>
            <w:tcBorders>
              <w:top w:val="nil"/>
              <w:left w:val="nil"/>
              <w:bottom w:val="nil"/>
              <w:right w:val="nil"/>
            </w:tcBorders>
            <w:vAlign w:val="center"/>
          </w:tcPr>
          <w:p w14:paraId="01843FD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14.000</w:t>
            </w:r>
          </w:p>
        </w:tc>
        <w:tc>
          <w:tcPr>
            <w:tcW w:w="643" w:type="dxa"/>
            <w:tcBorders>
              <w:top w:val="nil"/>
              <w:left w:val="nil"/>
              <w:bottom w:val="nil"/>
              <w:right w:val="nil"/>
            </w:tcBorders>
            <w:vAlign w:val="center"/>
          </w:tcPr>
          <w:p w14:paraId="4990D27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14.274</w:t>
            </w:r>
          </w:p>
        </w:tc>
      </w:tr>
      <w:tr w:rsidR="007E7E9C" w:rsidRPr="00575A7E" w14:paraId="3640CAB3" w14:textId="77777777" w:rsidTr="00B157B6">
        <w:trPr>
          <w:jc w:val="center"/>
        </w:trPr>
        <w:tc>
          <w:tcPr>
            <w:tcW w:w="854" w:type="dxa"/>
            <w:tcBorders>
              <w:top w:val="nil"/>
              <w:left w:val="nil"/>
              <w:bottom w:val="nil"/>
            </w:tcBorders>
            <w:vAlign w:val="center"/>
          </w:tcPr>
          <w:p w14:paraId="4570EA3F"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17D73E6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378245F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1BC21BC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00B1348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2938191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6826AA1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2E57546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674E167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39C0904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2B6C8EE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7EB1E3F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09845F1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2EB3C70E" w14:textId="77777777" w:rsidTr="00B157B6">
        <w:trPr>
          <w:jc w:val="center"/>
        </w:trPr>
        <w:tc>
          <w:tcPr>
            <w:tcW w:w="854" w:type="dxa"/>
            <w:tcBorders>
              <w:top w:val="nil"/>
              <w:left w:val="nil"/>
              <w:bottom w:val="nil"/>
            </w:tcBorders>
            <w:vAlign w:val="center"/>
          </w:tcPr>
          <w:p w14:paraId="6EAD0A98"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Γέννησης</w:t>
            </w:r>
          </w:p>
        </w:tc>
        <w:tc>
          <w:tcPr>
            <w:tcW w:w="674" w:type="dxa"/>
            <w:tcBorders>
              <w:top w:val="nil"/>
              <w:bottom w:val="nil"/>
              <w:right w:val="nil"/>
            </w:tcBorders>
            <w:vAlign w:val="center"/>
          </w:tcPr>
          <w:p w14:paraId="7F7C53B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5FA38B7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202AFA5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7.203</w:t>
            </w:r>
          </w:p>
        </w:tc>
        <w:tc>
          <w:tcPr>
            <w:tcW w:w="580" w:type="dxa"/>
            <w:tcBorders>
              <w:top w:val="nil"/>
              <w:bottom w:val="nil"/>
              <w:right w:val="nil"/>
            </w:tcBorders>
            <w:vAlign w:val="center"/>
          </w:tcPr>
          <w:p w14:paraId="2BD219A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6.313</w:t>
            </w:r>
          </w:p>
        </w:tc>
        <w:tc>
          <w:tcPr>
            <w:tcW w:w="580" w:type="dxa"/>
            <w:tcBorders>
              <w:top w:val="nil"/>
              <w:left w:val="nil"/>
              <w:bottom w:val="nil"/>
              <w:right w:val="nil"/>
            </w:tcBorders>
            <w:vAlign w:val="center"/>
          </w:tcPr>
          <w:p w14:paraId="362F94F5"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5.652</w:t>
            </w:r>
          </w:p>
        </w:tc>
        <w:tc>
          <w:tcPr>
            <w:tcW w:w="580" w:type="dxa"/>
            <w:tcBorders>
              <w:top w:val="nil"/>
              <w:left w:val="nil"/>
              <w:bottom w:val="nil"/>
            </w:tcBorders>
            <w:vAlign w:val="center"/>
          </w:tcPr>
          <w:p w14:paraId="5A723AB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12.273</w:t>
            </w:r>
          </w:p>
        </w:tc>
        <w:tc>
          <w:tcPr>
            <w:tcW w:w="580" w:type="dxa"/>
            <w:tcBorders>
              <w:top w:val="nil"/>
              <w:bottom w:val="nil"/>
              <w:right w:val="nil"/>
            </w:tcBorders>
            <w:vAlign w:val="center"/>
          </w:tcPr>
          <w:p w14:paraId="6B42814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12.014</w:t>
            </w:r>
          </w:p>
        </w:tc>
        <w:tc>
          <w:tcPr>
            <w:tcW w:w="586" w:type="dxa"/>
            <w:tcBorders>
              <w:top w:val="nil"/>
              <w:left w:val="nil"/>
              <w:bottom w:val="nil"/>
              <w:right w:val="nil"/>
            </w:tcBorders>
            <w:vAlign w:val="center"/>
          </w:tcPr>
          <w:p w14:paraId="716646A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12.249</w:t>
            </w:r>
          </w:p>
        </w:tc>
        <w:tc>
          <w:tcPr>
            <w:tcW w:w="690" w:type="dxa"/>
            <w:tcBorders>
              <w:top w:val="nil"/>
              <w:left w:val="nil"/>
              <w:bottom w:val="nil"/>
            </w:tcBorders>
            <w:vAlign w:val="center"/>
          </w:tcPr>
          <w:p w14:paraId="7BB04D0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11.531</w:t>
            </w:r>
          </w:p>
        </w:tc>
        <w:tc>
          <w:tcPr>
            <w:tcW w:w="588" w:type="dxa"/>
            <w:tcBorders>
              <w:top w:val="nil"/>
              <w:bottom w:val="nil"/>
              <w:right w:val="nil"/>
            </w:tcBorders>
            <w:vAlign w:val="center"/>
          </w:tcPr>
          <w:p w14:paraId="3588DF5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13.001</w:t>
            </w:r>
          </w:p>
        </w:tc>
        <w:tc>
          <w:tcPr>
            <w:tcW w:w="618" w:type="dxa"/>
            <w:tcBorders>
              <w:top w:val="nil"/>
              <w:left w:val="nil"/>
              <w:bottom w:val="nil"/>
              <w:right w:val="nil"/>
            </w:tcBorders>
            <w:vAlign w:val="center"/>
          </w:tcPr>
          <w:p w14:paraId="5EECCA9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13.568</w:t>
            </w:r>
          </w:p>
        </w:tc>
        <w:tc>
          <w:tcPr>
            <w:tcW w:w="643" w:type="dxa"/>
            <w:tcBorders>
              <w:top w:val="nil"/>
              <w:left w:val="nil"/>
              <w:bottom w:val="nil"/>
              <w:right w:val="nil"/>
            </w:tcBorders>
            <w:vAlign w:val="center"/>
          </w:tcPr>
          <w:p w14:paraId="3D24253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13.245</w:t>
            </w:r>
          </w:p>
        </w:tc>
      </w:tr>
      <w:tr w:rsidR="007E7E9C" w:rsidRPr="00575A7E" w14:paraId="4111A1F2" w14:textId="77777777" w:rsidTr="00B157B6">
        <w:trPr>
          <w:jc w:val="center"/>
        </w:trPr>
        <w:tc>
          <w:tcPr>
            <w:tcW w:w="854" w:type="dxa"/>
            <w:tcBorders>
              <w:top w:val="nil"/>
              <w:left w:val="nil"/>
              <w:bottom w:val="nil"/>
            </w:tcBorders>
            <w:vAlign w:val="center"/>
          </w:tcPr>
          <w:p w14:paraId="41E84066"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05FB5A8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16CBCB5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2344EFEC"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26B4FB5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081BF555"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339F697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059EAF5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33B84DC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408DA51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1503214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341F491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2F4339E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08DEC04C" w14:textId="77777777" w:rsidTr="00B157B6">
        <w:trPr>
          <w:jc w:val="center"/>
        </w:trPr>
        <w:tc>
          <w:tcPr>
            <w:tcW w:w="854" w:type="dxa"/>
            <w:tcBorders>
              <w:top w:val="nil"/>
              <w:left w:val="nil"/>
              <w:bottom w:val="nil"/>
            </w:tcBorders>
            <w:vAlign w:val="center"/>
          </w:tcPr>
          <w:p w14:paraId="5C7E95E2"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Οικογενειακά</w:t>
            </w:r>
          </w:p>
        </w:tc>
        <w:tc>
          <w:tcPr>
            <w:tcW w:w="674" w:type="dxa"/>
            <w:tcBorders>
              <w:top w:val="nil"/>
              <w:bottom w:val="nil"/>
              <w:right w:val="nil"/>
            </w:tcBorders>
            <w:vAlign w:val="center"/>
          </w:tcPr>
          <w:p w14:paraId="7F48D83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289AA885"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17.042</w:t>
            </w:r>
          </w:p>
        </w:tc>
        <w:tc>
          <w:tcPr>
            <w:tcW w:w="580" w:type="dxa"/>
            <w:tcBorders>
              <w:top w:val="nil"/>
              <w:left w:val="nil"/>
              <w:bottom w:val="nil"/>
            </w:tcBorders>
            <w:vAlign w:val="center"/>
          </w:tcPr>
          <w:p w14:paraId="503FAC3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508.056</w:t>
            </w:r>
          </w:p>
        </w:tc>
        <w:tc>
          <w:tcPr>
            <w:tcW w:w="580" w:type="dxa"/>
            <w:tcBorders>
              <w:top w:val="nil"/>
              <w:bottom w:val="nil"/>
              <w:right w:val="nil"/>
            </w:tcBorders>
            <w:vAlign w:val="center"/>
          </w:tcPr>
          <w:p w14:paraId="35BD9E4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466DF8C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711.527</w:t>
            </w:r>
          </w:p>
        </w:tc>
        <w:tc>
          <w:tcPr>
            <w:tcW w:w="580" w:type="dxa"/>
            <w:tcBorders>
              <w:top w:val="nil"/>
              <w:left w:val="nil"/>
              <w:bottom w:val="nil"/>
            </w:tcBorders>
            <w:vAlign w:val="center"/>
          </w:tcPr>
          <w:p w14:paraId="03ED2B0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3C99863D"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727.032</w:t>
            </w:r>
          </w:p>
        </w:tc>
        <w:tc>
          <w:tcPr>
            <w:tcW w:w="586" w:type="dxa"/>
            <w:tcBorders>
              <w:top w:val="nil"/>
              <w:left w:val="nil"/>
              <w:bottom w:val="nil"/>
              <w:right w:val="nil"/>
            </w:tcBorders>
            <w:vAlign w:val="center"/>
          </w:tcPr>
          <w:p w14:paraId="68BF96F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190E920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796.805</w:t>
            </w:r>
          </w:p>
        </w:tc>
        <w:tc>
          <w:tcPr>
            <w:tcW w:w="588" w:type="dxa"/>
            <w:tcBorders>
              <w:top w:val="nil"/>
              <w:bottom w:val="nil"/>
              <w:right w:val="nil"/>
            </w:tcBorders>
            <w:vAlign w:val="center"/>
          </w:tcPr>
          <w:p w14:paraId="5F045D9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45878E9F"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828.747</w:t>
            </w:r>
          </w:p>
        </w:tc>
        <w:tc>
          <w:tcPr>
            <w:tcW w:w="643" w:type="dxa"/>
            <w:tcBorders>
              <w:top w:val="nil"/>
              <w:left w:val="nil"/>
              <w:bottom w:val="nil"/>
              <w:right w:val="nil"/>
            </w:tcBorders>
            <w:vAlign w:val="center"/>
          </w:tcPr>
          <w:p w14:paraId="7C77540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856.729</w:t>
            </w:r>
          </w:p>
        </w:tc>
      </w:tr>
      <w:tr w:rsidR="007E7E9C" w:rsidRPr="00575A7E" w14:paraId="00BC21B8" w14:textId="77777777" w:rsidTr="00B157B6">
        <w:trPr>
          <w:jc w:val="center"/>
        </w:trPr>
        <w:tc>
          <w:tcPr>
            <w:tcW w:w="854" w:type="dxa"/>
            <w:tcBorders>
              <w:top w:val="nil"/>
              <w:left w:val="nil"/>
              <w:bottom w:val="nil"/>
            </w:tcBorders>
            <w:vAlign w:val="center"/>
          </w:tcPr>
          <w:p w14:paraId="6483E8EB" w14:textId="77777777" w:rsidR="007E7E9C" w:rsidRPr="00575A7E" w:rsidRDefault="007E7E9C" w:rsidP="003B1BE9">
            <w:pPr>
              <w:spacing w:line="276" w:lineRule="auto"/>
              <w:jc w:val="both"/>
              <w:rPr>
                <w:rFonts w:ascii="Calibri" w:eastAsia="Calibri" w:hAnsi="Calibri" w:cs="Times New Roman"/>
                <w:color w:val="595959" w:themeColor="text1" w:themeTint="A6"/>
                <w:sz w:val="4"/>
                <w:szCs w:val="4"/>
              </w:rPr>
            </w:pPr>
          </w:p>
        </w:tc>
        <w:tc>
          <w:tcPr>
            <w:tcW w:w="674" w:type="dxa"/>
            <w:tcBorders>
              <w:top w:val="nil"/>
              <w:bottom w:val="nil"/>
              <w:right w:val="nil"/>
            </w:tcBorders>
            <w:vAlign w:val="center"/>
          </w:tcPr>
          <w:p w14:paraId="338B59E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753" w:type="dxa"/>
            <w:tcBorders>
              <w:top w:val="nil"/>
              <w:left w:val="nil"/>
              <w:bottom w:val="nil"/>
              <w:right w:val="nil"/>
            </w:tcBorders>
            <w:vAlign w:val="center"/>
          </w:tcPr>
          <w:p w14:paraId="04041D2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2CDE2F4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62C8FB7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right w:val="nil"/>
            </w:tcBorders>
            <w:vAlign w:val="center"/>
          </w:tcPr>
          <w:p w14:paraId="5364701B"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left w:val="nil"/>
              <w:bottom w:val="nil"/>
            </w:tcBorders>
            <w:vAlign w:val="center"/>
          </w:tcPr>
          <w:p w14:paraId="4F2D8E27"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0" w:type="dxa"/>
            <w:tcBorders>
              <w:top w:val="nil"/>
              <w:bottom w:val="nil"/>
              <w:right w:val="nil"/>
            </w:tcBorders>
            <w:vAlign w:val="center"/>
          </w:tcPr>
          <w:p w14:paraId="21B35FE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6" w:type="dxa"/>
            <w:tcBorders>
              <w:top w:val="nil"/>
              <w:left w:val="nil"/>
              <w:bottom w:val="nil"/>
              <w:right w:val="nil"/>
            </w:tcBorders>
            <w:vAlign w:val="center"/>
          </w:tcPr>
          <w:p w14:paraId="79733D2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90" w:type="dxa"/>
            <w:tcBorders>
              <w:top w:val="nil"/>
              <w:left w:val="nil"/>
              <w:bottom w:val="nil"/>
            </w:tcBorders>
            <w:vAlign w:val="center"/>
          </w:tcPr>
          <w:p w14:paraId="54FD8391"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588" w:type="dxa"/>
            <w:tcBorders>
              <w:top w:val="nil"/>
              <w:bottom w:val="nil"/>
              <w:right w:val="nil"/>
            </w:tcBorders>
            <w:vAlign w:val="center"/>
          </w:tcPr>
          <w:p w14:paraId="1CAD245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18" w:type="dxa"/>
            <w:tcBorders>
              <w:top w:val="nil"/>
              <w:left w:val="nil"/>
              <w:bottom w:val="nil"/>
              <w:right w:val="nil"/>
            </w:tcBorders>
            <w:vAlign w:val="center"/>
          </w:tcPr>
          <w:p w14:paraId="3957450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c>
          <w:tcPr>
            <w:tcW w:w="643" w:type="dxa"/>
            <w:tcBorders>
              <w:top w:val="nil"/>
              <w:left w:val="nil"/>
              <w:bottom w:val="nil"/>
              <w:right w:val="nil"/>
            </w:tcBorders>
            <w:vAlign w:val="center"/>
          </w:tcPr>
          <w:p w14:paraId="6400760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p>
        </w:tc>
      </w:tr>
      <w:tr w:rsidR="007E7E9C" w:rsidRPr="00575A7E" w14:paraId="56570018" w14:textId="77777777" w:rsidTr="00B157B6">
        <w:trPr>
          <w:jc w:val="center"/>
        </w:trPr>
        <w:tc>
          <w:tcPr>
            <w:tcW w:w="854" w:type="dxa"/>
            <w:tcBorders>
              <w:top w:val="nil"/>
              <w:left w:val="nil"/>
              <w:bottom w:val="single" w:sz="4" w:space="0" w:color="auto"/>
            </w:tcBorders>
            <w:vAlign w:val="center"/>
          </w:tcPr>
          <w:p w14:paraId="4C662E0A" w14:textId="77777777" w:rsidR="007E7E9C" w:rsidRPr="00575A7E" w:rsidRDefault="007E7E9C"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Calibri" w:hAnsi="Calibri" w:cs="Times New Roman"/>
                <w:color w:val="595959" w:themeColor="text1" w:themeTint="A6"/>
                <w:sz w:val="10"/>
                <w:szCs w:val="10"/>
              </w:rPr>
              <w:t>Άλλα επιδόματα</w:t>
            </w:r>
          </w:p>
        </w:tc>
        <w:tc>
          <w:tcPr>
            <w:tcW w:w="674" w:type="dxa"/>
            <w:tcBorders>
              <w:top w:val="nil"/>
              <w:bottom w:val="single" w:sz="4" w:space="0" w:color="auto"/>
              <w:right w:val="nil"/>
            </w:tcBorders>
            <w:vAlign w:val="center"/>
          </w:tcPr>
          <w:p w14:paraId="0701173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9.246</w:t>
            </w:r>
          </w:p>
        </w:tc>
        <w:tc>
          <w:tcPr>
            <w:tcW w:w="753" w:type="dxa"/>
            <w:tcBorders>
              <w:top w:val="nil"/>
              <w:left w:val="nil"/>
              <w:bottom w:val="single" w:sz="4" w:space="0" w:color="auto"/>
              <w:right w:val="nil"/>
            </w:tcBorders>
            <w:vAlign w:val="center"/>
          </w:tcPr>
          <w:p w14:paraId="4FE384C6"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9.091</w:t>
            </w:r>
          </w:p>
        </w:tc>
        <w:tc>
          <w:tcPr>
            <w:tcW w:w="580" w:type="dxa"/>
            <w:tcBorders>
              <w:top w:val="nil"/>
              <w:left w:val="nil"/>
              <w:bottom w:val="single" w:sz="4" w:space="0" w:color="auto"/>
            </w:tcBorders>
            <w:vAlign w:val="center"/>
          </w:tcPr>
          <w:p w14:paraId="66696ED4"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9.250</w:t>
            </w:r>
          </w:p>
        </w:tc>
        <w:tc>
          <w:tcPr>
            <w:tcW w:w="580" w:type="dxa"/>
            <w:tcBorders>
              <w:top w:val="nil"/>
              <w:bottom w:val="single" w:sz="4" w:space="0" w:color="auto"/>
              <w:right w:val="nil"/>
            </w:tcBorders>
            <w:vAlign w:val="center"/>
          </w:tcPr>
          <w:p w14:paraId="75CD9F1E"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9.268</w:t>
            </w:r>
          </w:p>
        </w:tc>
        <w:tc>
          <w:tcPr>
            <w:tcW w:w="580" w:type="dxa"/>
            <w:tcBorders>
              <w:top w:val="nil"/>
              <w:left w:val="nil"/>
              <w:bottom w:val="single" w:sz="4" w:space="0" w:color="auto"/>
              <w:right w:val="nil"/>
            </w:tcBorders>
            <w:vAlign w:val="center"/>
          </w:tcPr>
          <w:p w14:paraId="6C5E3583"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11.828</w:t>
            </w:r>
          </w:p>
        </w:tc>
        <w:tc>
          <w:tcPr>
            <w:tcW w:w="580" w:type="dxa"/>
            <w:tcBorders>
              <w:top w:val="nil"/>
              <w:left w:val="nil"/>
              <w:bottom w:val="single" w:sz="4" w:space="0" w:color="auto"/>
            </w:tcBorders>
            <w:vAlign w:val="center"/>
          </w:tcPr>
          <w:p w14:paraId="7537C6EA"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9.616</w:t>
            </w:r>
          </w:p>
        </w:tc>
        <w:tc>
          <w:tcPr>
            <w:tcW w:w="580" w:type="dxa"/>
            <w:tcBorders>
              <w:top w:val="nil"/>
              <w:bottom w:val="single" w:sz="4" w:space="0" w:color="auto"/>
              <w:right w:val="nil"/>
            </w:tcBorders>
            <w:vAlign w:val="center"/>
          </w:tcPr>
          <w:p w14:paraId="77D70799"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9.761</w:t>
            </w:r>
          </w:p>
        </w:tc>
        <w:tc>
          <w:tcPr>
            <w:tcW w:w="586" w:type="dxa"/>
            <w:tcBorders>
              <w:top w:val="nil"/>
              <w:left w:val="nil"/>
              <w:bottom w:val="single" w:sz="4" w:space="0" w:color="auto"/>
              <w:right w:val="nil"/>
            </w:tcBorders>
            <w:vAlign w:val="center"/>
          </w:tcPr>
          <w:p w14:paraId="0F4B7DE2"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10.336</w:t>
            </w:r>
          </w:p>
        </w:tc>
        <w:tc>
          <w:tcPr>
            <w:tcW w:w="690" w:type="dxa"/>
            <w:tcBorders>
              <w:top w:val="nil"/>
              <w:left w:val="nil"/>
              <w:bottom w:val="single" w:sz="4" w:space="0" w:color="auto"/>
            </w:tcBorders>
            <w:vAlign w:val="center"/>
          </w:tcPr>
          <w:p w14:paraId="5E28FFF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10.524</w:t>
            </w:r>
          </w:p>
        </w:tc>
        <w:tc>
          <w:tcPr>
            <w:tcW w:w="588" w:type="dxa"/>
            <w:tcBorders>
              <w:top w:val="nil"/>
              <w:bottom w:val="single" w:sz="4" w:space="0" w:color="auto"/>
              <w:right w:val="nil"/>
            </w:tcBorders>
            <w:vAlign w:val="center"/>
          </w:tcPr>
          <w:p w14:paraId="65F0C820"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10.445</w:t>
            </w:r>
          </w:p>
        </w:tc>
        <w:tc>
          <w:tcPr>
            <w:tcW w:w="618" w:type="dxa"/>
            <w:tcBorders>
              <w:top w:val="nil"/>
              <w:left w:val="nil"/>
              <w:bottom w:val="single" w:sz="4" w:space="0" w:color="auto"/>
              <w:right w:val="nil"/>
            </w:tcBorders>
            <w:vAlign w:val="center"/>
          </w:tcPr>
          <w:p w14:paraId="613A5734" w14:textId="77777777" w:rsidR="007E7E9C" w:rsidRPr="00575A7E" w:rsidRDefault="007E7E9C" w:rsidP="003B1BE9">
            <w:pPr>
              <w:spacing w:line="276" w:lineRule="auto"/>
              <w:ind w:hanging="52"/>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54.020</w:t>
            </w:r>
            <w:r w:rsidRPr="00575A7E">
              <w:rPr>
                <w:rFonts w:ascii="Calibri" w:eastAsia="Calibri" w:hAnsi="Calibri" w:cs="Times New Roman"/>
                <w:b/>
                <w:color w:val="595959" w:themeColor="text1" w:themeTint="A6"/>
                <w:sz w:val="11"/>
                <w:szCs w:val="11"/>
              </w:rPr>
              <w:t>**</w:t>
            </w:r>
          </w:p>
        </w:tc>
        <w:tc>
          <w:tcPr>
            <w:tcW w:w="643" w:type="dxa"/>
            <w:tcBorders>
              <w:top w:val="nil"/>
              <w:left w:val="nil"/>
              <w:bottom w:val="single" w:sz="4" w:space="0" w:color="auto"/>
              <w:right w:val="nil"/>
            </w:tcBorders>
            <w:vAlign w:val="center"/>
          </w:tcPr>
          <w:p w14:paraId="16304F18" w14:textId="77777777" w:rsidR="007E7E9C" w:rsidRPr="00575A7E" w:rsidRDefault="007E7E9C" w:rsidP="003B1BE9">
            <w:pPr>
              <w:spacing w:line="276" w:lineRule="auto"/>
              <w:jc w:val="both"/>
              <w:rPr>
                <w:rFonts w:ascii="Calibri" w:eastAsia="Calibri" w:hAnsi="Calibri" w:cs="Times New Roman"/>
                <w:color w:val="595959" w:themeColor="text1" w:themeTint="A6"/>
                <w:sz w:val="11"/>
                <w:szCs w:val="11"/>
              </w:rPr>
            </w:pPr>
            <w:r w:rsidRPr="00575A7E">
              <w:rPr>
                <w:rFonts w:ascii="Calibri" w:eastAsia="Calibri" w:hAnsi="Calibri" w:cs="Times New Roman"/>
                <w:color w:val="595959" w:themeColor="text1" w:themeTint="A6"/>
                <w:sz w:val="11"/>
                <w:szCs w:val="11"/>
              </w:rPr>
              <w:t>71.320</w:t>
            </w:r>
            <w:r w:rsidRPr="00575A7E">
              <w:rPr>
                <w:rFonts w:ascii="Calibri" w:eastAsia="Calibri" w:hAnsi="Calibri" w:cs="Times New Roman"/>
                <w:b/>
                <w:color w:val="595959" w:themeColor="text1" w:themeTint="A6"/>
                <w:sz w:val="11"/>
                <w:szCs w:val="11"/>
              </w:rPr>
              <w:t>**</w:t>
            </w:r>
          </w:p>
        </w:tc>
      </w:tr>
      <w:tr w:rsidR="007E7E9C" w:rsidRPr="00575A7E" w14:paraId="1CD1DCF3" w14:textId="77777777" w:rsidTr="0080479A">
        <w:trPr>
          <w:jc w:val="center"/>
        </w:trPr>
        <w:tc>
          <w:tcPr>
            <w:tcW w:w="8306" w:type="dxa"/>
            <w:gridSpan w:val="13"/>
            <w:tcBorders>
              <w:top w:val="single" w:sz="4" w:space="0" w:color="auto"/>
              <w:left w:val="nil"/>
              <w:bottom w:val="nil"/>
              <w:right w:val="nil"/>
            </w:tcBorders>
            <w:vAlign w:val="center"/>
          </w:tcPr>
          <w:p w14:paraId="62AB7148" w14:textId="77777777" w:rsidR="00043DE8" w:rsidRPr="00575A7E" w:rsidRDefault="00043DE8" w:rsidP="003B1BE9">
            <w:pPr>
              <w:spacing w:line="276" w:lineRule="auto"/>
              <w:ind w:left="601" w:hanging="709"/>
              <w:jc w:val="both"/>
              <w:rPr>
                <w:rFonts w:ascii="Calibri" w:eastAsia="Times New Roman" w:hAnsi="Calibri" w:cs="Times New Roman"/>
                <w:bCs/>
                <w:color w:val="595959" w:themeColor="text1" w:themeTint="A6"/>
                <w:sz w:val="16"/>
                <w:szCs w:val="16"/>
                <w:lang w:eastAsia="el-GR"/>
              </w:rPr>
            </w:pPr>
            <w:r w:rsidRPr="00575A7E">
              <w:rPr>
                <w:rFonts w:ascii="Calibri" w:eastAsia="Times New Roman" w:hAnsi="Calibri" w:cs="Times New Roman"/>
                <w:bCs/>
                <w:color w:val="595959" w:themeColor="text1" w:themeTint="A6"/>
                <w:sz w:val="16"/>
                <w:szCs w:val="16"/>
                <w:lang w:eastAsia="el-GR"/>
              </w:rPr>
              <w:t xml:space="preserve">Σημείωση: Στα “Άλλα επιδόματα” περιλαμβάνονται τα επιδόματα στεγαστικής συνδρομής, ομογενών, ορεινών &amp; μειονεκτικών περιοχών, τα έξοδα κηδείας, η συνεισφορά του Δημοσίου στα κόκκινα δάνεια, το επίδομα στα προστατευόμενα τέκνα </w:t>
            </w:r>
            <w:proofErr w:type="spellStart"/>
            <w:r w:rsidRPr="00575A7E">
              <w:rPr>
                <w:rFonts w:ascii="Calibri" w:eastAsia="Times New Roman" w:hAnsi="Calibri" w:cs="Times New Roman"/>
                <w:bCs/>
                <w:color w:val="595959" w:themeColor="text1" w:themeTint="A6"/>
                <w:sz w:val="16"/>
                <w:szCs w:val="16"/>
                <w:lang w:eastAsia="el-GR"/>
              </w:rPr>
              <w:t>θανόντων</w:t>
            </w:r>
            <w:proofErr w:type="spellEnd"/>
            <w:r w:rsidRPr="00575A7E">
              <w:rPr>
                <w:rFonts w:ascii="Calibri" w:eastAsia="Times New Roman" w:hAnsi="Calibri" w:cs="Times New Roman"/>
                <w:bCs/>
                <w:color w:val="595959" w:themeColor="text1" w:themeTint="A6"/>
                <w:sz w:val="16"/>
                <w:szCs w:val="16"/>
                <w:lang w:eastAsia="el-GR"/>
              </w:rPr>
              <w:t xml:space="preserve"> σε φυσικές καταστροφές και το πρόγραμμα επιδότησης α΄ κατοικίας λόγω COVID-19. </w:t>
            </w:r>
          </w:p>
          <w:p w14:paraId="6625CBD1" w14:textId="77777777" w:rsidR="00043DE8" w:rsidRPr="00575A7E" w:rsidRDefault="00043DE8" w:rsidP="003B1BE9">
            <w:pPr>
              <w:spacing w:line="276" w:lineRule="auto"/>
              <w:ind w:left="601" w:hanging="709"/>
              <w:jc w:val="both"/>
              <w:rPr>
                <w:rFonts w:ascii="Calibri" w:eastAsia="Times New Roman" w:hAnsi="Calibri" w:cs="Times New Roman"/>
                <w:bCs/>
                <w:color w:val="595959" w:themeColor="text1" w:themeTint="A6"/>
                <w:sz w:val="16"/>
                <w:szCs w:val="16"/>
                <w:lang w:eastAsia="el-GR"/>
              </w:rPr>
            </w:pPr>
            <w:r w:rsidRPr="00575A7E">
              <w:rPr>
                <w:rFonts w:ascii="Calibri" w:eastAsia="Times New Roman" w:hAnsi="Calibri" w:cs="Times New Roman"/>
                <w:bCs/>
                <w:color w:val="595959" w:themeColor="text1" w:themeTint="A6"/>
                <w:sz w:val="16"/>
                <w:szCs w:val="16"/>
                <w:lang w:eastAsia="el-GR"/>
              </w:rPr>
              <w:t>**Περιλαμβάνουν και τους δικαιούχους του προγράμματος “</w:t>
            </w:r>
            <w:r w:rsidR="005262C0">
              <w:rPr>
                <w:rFonts w:ascii="Calibri" w:eastAsia="Times New Roman" w:hAnsi="Calibri" w:cs="Times New Roman"/>
                <w:bCs/>
                <w:color w:val="595959" w:themeColor="text1" w:themeTint="A6"/>
                <w:sz w:val="16"/>
                <w:szCs w:val="16"/>
                <w:lang w:eastAsia="el-GR"/>
              </w:rPr>
              <w:t>Γ</w:t>
            </w:r>
            <w:r w:rsidRPr="00575A7E">
              <w:rPr>
                <w:rFonts w:ascii="Calibri" w:eastAsia="Times New Roman" w:hAnsi="Calibri" w:cs="Times New Roman"/>
                <w:bCs/>
                <w:color w:val="595959" w:themeColor="text1" w:themeTint="A6"/>
                <w:sz w:val="16"/>
                <w:szCs w:val="16"/>
                <w:lang w:eastAsia="el-GR"/>
              </w:rPr>
              <w:t>έφυρα” (42.449 για τον Νοέμβριο και 57.205 για τον Δεκέμβριο).</w:t>
            </w:r>
          </w:p>
          <w:p w14:paraId="53090A02" w14:textId="77777777" w:rsidR="007E7E9C" w:rsidRPr="00575A7E" w:rsidRDefault="00043DE8" w:rsidP="003B1BE9">
            <w:pPr>
              <w:spacing w:line="276" w:lineRule="auto"/>
              <w:jc w:val="both"/>
              <w:rPr>
                <w:rFonts w:ascii="Calibri" w:eastAsia="Calibri" w:hAnsi="Calibri" w:cs="Times New Roman"/>
                <w:color w:val="595959" w:themeColor="text1" w:themeTint="A6"/>
                <w:sz w:val="10"/>
                <w:szCs w:val="10"/>
              </w:rPr>
            </w:pPr>
            <w:r w:rsidRPr="00575A7E">
              <w:rPr>
                <w:rFonts w:ascii="Calibri" w:eastAsia="Times New Roman" w:hAnsi="Calibri" w:cs="Times New Roman"/>
                <w:bCs/>
                <w:color w:val="595959" w:themeColor="text1" w:themeTint="A6"/>
                <w:sz w:val="16"/>
                <w:szCs w:val="16"/>
                <w:lang w:eastAsia="el-GR"/>
              </w:rPr>
              <w:t>Πηγή: ΟΠΕΚΑ</w:t>
            </w:r>
          </w:p>
        </w:tc>
      </w:tr>
    </w:tbl>
    <w:p w14:paraId="3A16112C" w14:textId="77777777" w:rsidR="007E7E9C" w:rsidRDefault="007E7E9C" w:rsidP="003B1BE9">
      <w:pPr>
        <w:spacing w:after="0" w:line="276" w:lineRule="auto"/>
        <w:jc w:val="both"/>
        <w:rPr>
          <w:rFonts w:ascii="Calibri" w:eastAsia="Calibri" w:hAnsi="Calibri" w:cs="Times New Roman"/>
          <w:color w:val="595959" w:themeColor="text1" w:themeTint="A6"/>
        </w:rPr>
      </w:pPr>
    </w:p>
    <w:p w14:paraId="7B9D95FB" w14:textId="77777777" w:rsidR="00BC73D7" w:rsidRDefault="00BC73D7" w:rsidP="003B1BE9">
      <w:pPr>
        <w:spacing w:after="0" w:line="276" w:lineRule="auto"/>
        <w:jc w:val="both"/>
        <w:rPr>
          <w:rFonts w:ascii="Calibri" w:eastAsia="Calibri" w:hAnsi="Calibri" w:cs="Times New Roman"/>
          <w:color w:val="595959" w:themeColor="text1" w:themeTint="A6"/>
        </w:rPr>
      </w:pPr>
    </w:p>
    <w:p w14:paraId="678FA595" w14:textId="77777777" w:rsidR="00BC73D7" w:rsidRPr="00575A7E" w:rsidRDefault="00BC73D7" w:rsidP="003B1BE9">
      <w:pPr>
        <w:spacing w:after="0" w:line="276" w:lineRule="auto"/>
        <w:jc w:val="both"/>
        <w:rPr>
          <w:rFonts w:ascii="Calibri" w:eastAsia="Calibri" w:hAnsi="Calibri" w:cs="Times New Roman"/>
          <w:color w:val="595959" w:themeColor="text1" w:themeTint="A6"/>
        </w:rPr>
      </w:pPr>
    </w:p>
    <w:p w14:paraId="0CD03872" w14:textId="77777777" w:rsidR="00BC73D7" w:rsidRDefault="00BC73D7">
      <w:pPr>
        <w:rPr>
          <w:rFonts w:asciiTheme="majorHAnsi" w:eastAsia="Times New Roman" w:hAnsiTheme="majorHAnsi" w:cstheme="majorBidi"/>
          <w:b/>
          <w:bCs/>
          <w:color w:val="4472C4" w:themeColor="accent1"/>
          <w:sz w:val="26"/>
          <w:szCs w:val="26"/>
        </w:rPr>
      </w:pPr>
      <w:bookmarkStart w:id="150" w:name="_Toc9685048"/>
      <w:r>
        <w:rPr>
          <w:rFonts w:eastAsia="Times New Roman"/>
        </w:rPr>
        <w:br w:type="page"/>
      </w:r>
    </w:p>
    <w:p w14:paraId="2B1235CC" w14:textId="77777777" w:rsidR="007E7E9C" w:rsidRPr="00575A7E" w:rsidRDefault="007E7E9C" w:rsidP="003B1BE9">
      <w:pPr>
        <w:pStyle w:val="2"/>
        <w:spacing w:before="0" w:line="276" w:lineRule="auto"/>
        <w:rPr>
          <w:rFonts w:eastAsia="Times New Roman"/>
        </w:rPr>
      </w:pPr>
      <w:bookmarkStart w:id="151" w:name="_Toc67401926"/>
      <w:r w:rsidRPr="00575A7E">
        <w:rPr>
          <w:rFonts w:eastAsia="Times New Roman"/>
        </w:rPr>
        <w:lastRenderedPageBreak/>
        <w:t>3.3. Κοινωνικές δαπάνες στην Ελλάδα και την Ευρωζώνη</w:t>
      </w:r>
      <w:bookmarkEnd w:id="150"/>
      <w:bookmarkEnd w:id="151"/>
      <w:r w:rsidRPr="00575A7E">
        <w:rPr>
          <w:rFonts w:eastAsia="Times New Roman"/>
        </w:rPr>
        <w:t xml:space="preserve"> </w:t>
      </w:r>
    </w:p>
    <w:p w14:paraId="74A6986A" w14:textId="77777777" w:rsidR="00553F07" w:rsidRPr="00575A7E" w:rsidRDefault="00553F07" w:rsidP="003B1BE9">
      <w:pPr>
        <w:spacing w:after="0" w:line="276" w:lineRule="auto"/>
      </w:pPr>
    </w:p>
    <w:p w14:paraId="3B5168A0" w14:textId="6A9F7937" w:rsidR="007E7E9C" w:rsidRPr="00575A7E" w:rsidRDefault="00A57564" w:rsidP="00BC73D7">
      <w:pPr>
        <w:spacing w:line="276" w:lineRule="auto"/>
        <w:jc w:val="both"/>
        <w:rPr>
          <w:rFonts w:ascii="Calibri" w:eastAsia="Calibri" w:hAnsi="Calibri" w:cs="Times New Roman"/>
          <w:color w:val="595959" w:themeColor="text1" w:themeTint="A6"/>
        </w:rPr>
      </w:pPr>
      <w:r>
        <w:rPr>
          <w:rFonts w:ascii="Calibri" w:eastAsia="Calibri" w:hAnsi="Calibri" w:cs="Times New Roman"/>
          <w:color w:val="595959" w:themeColor="text1" w:themeTint="A6"/>
        </w:rPr>
        <w:t>Ο</w:t>
      </w:r>
      <w:r w:rsidR="007E7E9C" w:rsidRPr="00575A7E">
        <w:rPr>
          <w:rFonts w:ascii="Calibri" w:eastAsia="Calibri" w:hAnsi="Calibri" w:cs="Times New Roman"/>
          <w:color w:val="595959" w:themeColor="text1" w:themeTint="A6"/>
        </w:rPr>
        <w:t>ι κρατικές δαπάνες</w:t>
      </w:r>
      <w:r w:rsidR="007E7E9C" w:rsidRPr="00575A7E">
        <w:rPr>
          <w:rFonts w:ascii="Calibri" w:eastAsia="Calibri" w:hAnsi="Calibri" w:cs="Times New Roman"/>
          <w:color w:val="595959" w:themeColor="text1" w:themeTint="A6"/>
          <w:vertAlign w:val="superscript"/>
        </w:rPr>
        <w:footnoteReference w:id="15"/>
      </w:r>
      <w:r w:rsidR="007E7E9C" w:rsidRPr="00575A7E">
        <w:rPr>
          <w:rFonts w:ascii="Calibri" w:eastAsia="Calibri" w:hAnsi="Calibri" w:cs="Times New Roman"/>
          <w:color w:val="595959" w:themeColor="text1" w:themeTint="A6"/>
        </w:rPr>
        <w:t xml:space="preserve"> </w:t>
      </w:r>
      <w:r w:rsidR="00BC73D7">
        <w:rPr>
          <w:rFonts w:ascii="Calibri" w:eastAsia="Calibri" w:hAnsi="Calibri" w:cs="Times New Roman"/>
          <w:color w:val="595959" w:themeColor="text1" w:themeTint="A6"/>
        </w:rPr>
        <w:t>στις χώρες της Ευρωζώνης έφτασαν το 47% του ΑΕΠ,</w:t>
      </w:r>
      <w:r w:rsidR="007E7E9C" w:rsidRPr="00575A7E">
        <w:rPr>
          <w:rFonts w:ascii="Calibri" w:eastAsia="Calibri" w:hAnsi="Calibri" w:cs="Times New Roman"/>
          <w:color w:val="595959" w:themeColor="text1" w:themeTint="A6"/>
        </w:rPr>
        <w:t xml:space="preserve"> </w:t>
      </w:r>
      <w:r w:rsidR="00BC73D7" w:rsidRPr="00575A7E">
        <w:rPr>
          <w:rFonts w:ascii="Calibri" w:eastAsia="Calibri" w:hAnsi="Calibri" w:cs="Times New Roman"/>
          <w:color w:val="595959" w:themeColor="text1" w:themeTint="A6"/>
        </w:rPr>
        <w:t xml:space="preserve">σύμφωνα με πρόσφατα στοιχεία της </w:t>
      </w:r>
      <w:hyperlink r:id="rId87" w:history="1">
        <w:proofErr w:type="spellStart"/>
        <w:r w:rsidR="00BC73D7" w:rsidRPr="00575A7E">
          <w:rPr>
            <w:color w:val="595959" w:themeColor="text1" w:themeTint="A6"/>
            <w:u w:val="single"/>
          </w:rPr>
          <w:t>Eurostat</w:t>
        </w:r>
        <w:proofErr w:type="spellEnd"/>
      </w:hyperlink>
      <w:r w:rsidR="00BC73D7" w:rsidRPr="00575A7E">
        <w:rPr>
          <w:rFonts w:ascii="Calibri" w:eastAsia="Calibri" w:hAnsi="Calibri" w:cs="Times New Roman"/>
          <w:color w:val="595959" w:themeColor="text1" w:themeTint="A6"/>
        </w:rPr>
        <w:t>,</w:t>
      </w:r>
      <w:r w:rsidR="00BC73D7">
        <w:rPr>
          <w:rFonts w:ascii="Calibri" w:eastAsia="Calibri" w:hAnsi="Calibri" w:cs="Times New Roman"/>
          <w:color w:val="595959" w:themeColor="text1" w:themeTint="A6"/>
        </w:rPr>
        <w:t xml:space="preserve"> εμφανώς μειωμένες σε σχέση με το επίπεδο του 2010 (50,9%)</w:t>
      </w:r>
      <w:r w:rsidR="007E7E9C" w:rsidRPr="00575A7E">
        <w:rPr>
          <w:rFonts w:ascii="Calibri" w:eastAsia="Calibri" w:hAnsi="Calibri" w:cs="Times New Roman"/>
          <w:color w:val="595959" w:themeColor="text1" w:themeTint="A6"/>
        </w:rPr>
        <w:t>.</w:t>
      </w:r>
      <w:r w:rsidR="00BC73D7">
        <w:rPr>
          <w:rFonts w:ascii="Calibri" w:eastAsia="Calibri" w:hAnsi="Calibri" w:cs="Times New Roman"/>
          <w:color w:val="595959" w:themeColor="text1" w:themeTint="A6"/>
        </w:rPr>
        <w:t xml:space="preserve"> </w:t>
      </w:r>
      <w:r w:rsidR="007E7E9C" w:rsidRPr="00575A7E">
        <w:rPr>
          <w:rFonts w:ascii="Calibri" w:eastAsia="Calibri" w:hAnsi="Calibri" w:cs="Times New Roman"/>
          <w:color w:val="595959" w:themeColor="text1" w:themeTint="A6"/>
        </w:rPr>
        <w:t>Η Ελλάδα κατέχει την έκτη υψηλότερη θέση ως προς το ύψος των κρατικών δαπανών στην Ευρωζώνη το 2019 (47,5% του ΑΕΠ), λίγο υψηλότερο από τον μέσο ευρωπαϊκό όρο (47,0% του ΑΕΠ). Μεταξύ των χωρών της Ευρωζώνης διαφέρει τόσο το επίπεδο του συνόλου των κρατικών δαπανών (από 24,5% του ΑΕΠ στην Ιρλανδία μέχρι 55,6% στη Γαλλία) όσο και η σύνθεσή τους, με τις κοινωνικές δαπάνες να διατηρούν, ωστόσο, το μεγαλύτερο μερίδιο σε όλες τις χώρες και να κυμαίνονται από 38,3% του ΑΕΠ στη Γαλλία μέχρι 17,4% του ΑΕΠ στην Ιρλανδία (32,2% του ΑΕΠ κατά μέσο όρο στην Ευρωζώνη).</w:t>
      </w:r>
    </w:p>
    <w:p w14:paraId="3D279CCA" w14:textId="77777777" w:rsidR="00A157B0" w:rsidRPr="00575A7E" w:rsidRDefault="00A157B0" w:rsidP="003B1BE9">
      <w:pPr>
        <w:spacing w:after="0" w:line="276" w:lineRule="auto"/>
      </w:pPr>
    </w:p>
    <w:p w14:paraId="33B6C2FB" w14:textId="7DBE203A" w:rsidR="008A41ED" w:rsidRPr="00575A7E" w:rsidRDefault="00D960BC" w:rsidP="00D960BC">
      <w:pPr>
        <w:pStyle w:val="ae"/>
        <w:jc w:val="center"/>
      </w:pPr>
      <w:bookmarkStart w:id="152" w:name="_Toc67396700"/>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10</w:t>
      </w:r>
      <w:r w:rsidR="0096217C">
        <w:rPr>
          <w:noProof/>
        </w:rPr>
        <w:fldChar w:fldCharType="end"/>
      </w:r>
      <w:r w:rsidR="008A41ED" w:rsidRPr="00575A7E">
        <w:t xml:space="preserve"> Κοινωνικές Δαπάνες στις χώρες της Ευρωζώνης ως % του ΑΕΠ το 2019</w:t>
      </w:r>
      <w:bookmarkEnd w:id="152"/>
    </w:p>
    <w:p w14:paraId="0562E99C" w14:textId="77777777" w:rsidR="007E7E9C" w:rsidRPr="00575A7E" w:rsidRDefault="00327EF5" w:rsidP="003B1BE9">
      <w:pPr>
        <w:spacing w:after="0" w:line="276" w:lineRule="auto"/>
        <w:jc w:val="center"/>
      </w:pPr>
      <w:r w:rsidRPr="00575A7E">
        <w:rPr>
          <w:noProof/>
          <w:lang w:eastAsia="el-GR"/>
        </w:rPr>
        <w:drawing>
          <wp:inline distT="0" distB="0" distL="0" distR="0" wp14:anchorId="1F4D764A" wp14:editId="79BFC7E6">
            <wp:extent cx="4389120" cy="3271496"/>
            <wp:effectExtent l="0" t="0" r="0" b="571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01998" cy="3281095"/>
                    </a:xfrm>
                    <a:prstGeom prst="rect">
                      <a:avLst/>
                    </a:prstGeom>
                    <a:noFill/>
                    <a:ln>
                      <a:noFill/>
                    </a:ln>
                  </pic:spPr>
                </pic:pic>
              </a:graphicData>
            </a:graphic>
          </wp:inline>
        </w:drawing>
      </w:r>
    </w:p>
    <w:p w14:paraId="3EA8B1A8" w14:textId="77777777" w:rsidR="007E7E9C" w:rsidRPr="00575A7E" w:rsidRDefault="007E7E9C" w:rsidP="003B1BE9">
      <w:pPr>
        <w:spacing w:after="0" w:line="276" w:lineRule="auto"/>
        <w:jc w:val="both"/>
      </w:pPr>
    </w:p>
    <w:p w14:paraId="68B44568" w14:textId="77777777" w:rsidR="00BC73D7" w:rsidRDefault="00BC73D7">
      <w:pPr>
        <w:rPr>
          <w:rFonts w:asciiTheme="majorHAnsi" w:eastAsiaTheme="majorEastAsia" w:hAnsiTheme="majorHAnsi" w:cstheme="majorBidi"/>
          <w:b/>
          <w:bCs/>
          <w:color w:val="4472C4" w:themeColor="accent1"/>
        </w:rPr>
      </w:pPr>
      <w:bookmarkStart w:id="153" w:name="_Toc9685049"/>
      <w:r>
        <w:br w:type="page"/>
      </w:r>
    </w:p>
    <w:p w14:paraId="66D79CA4" w14:textId="77777777" w:rsidR="007E7E9C" w:rsidRPr="00575A7E" w:rsidRDefault="007E7E9C" w:rsidP="003B1BE9">
      <w:pPr>
        <w:pStyle w:val="3"/>
        <w:spacing w:line="276" w:lineRule="auto"/>
      </w:pPr>
      <w:bookmarkStart w:id="154" w:name="_Toc67401927"/>
      <w:r w:rsidRPr="00575A7E">
        <w:lastRenderedPageBreak/>
        <w:t>Σύνθεση των κρατικών δαπανών στην Ελλάδα και την Ευρωζώνη</w:t>
      </w:r>
      <w:bookmarkEnd w:id="153"/>
      <w:bookmarkEnd w:id="154"/>
    </w:p>
    <w:p w14:paraId="78A13510" w14:textId="77777777" w:rsidR="007E7E9C" w:rsidRPr="00575A7E" w:rsidRDefault="007E7E9C" w:rsidP="003B1BE9">
      <w:pPr>
        <w:spacing w:after="0" w:line="276" w:lineRule="auto"/>
        <w:jc w:val="both"/>
        <w:rPr>
          <w:smallCaps/>
          <w:color w:val="595959" w:themeColor="text1" w:themeTint="A6"/>
        </w:rPr>
      </w:pPr>
    </w:p>
    <w:p w14:paraId="7D69229D" w14:textId="2784984B" w:rsidR="007E7E9C" w:rsidRPr="00575A7E" w:rsidRDefault="00A57564" w:rsidP="003B1BE9">
      <w:pPr>
        <w:spacing w:line="276" w:lineRule="auto"/>
        <w:jc w:val="both"/>
        <w:rPr>
          <w:rFonts w:ascii="Calibri" w:eastAsia="Calibri" w:hAnsi="Calibri" w:cs="Times New Roman"/>
          <w:color w:val="595959" w:themeColor="text1" w:themeTint="A6"/>
        </w:rPr>
      </w:pPr>
      <w:r>
        <w:rPr>
          <w:rFonts w:ascii="Calibri" w:eastAsia="Calibri" w:hAnsi="Calibri" w:cs="Times New Roman"/>
          <w:color w:val="595959" w:themeColor="text1" w:themeTint="A6"/>
        </w:rPr>
        <w:t>Δ</w:t>
      </w:r>
      <w:r w:rsidR="007E7E9C" w:rsidRPr="00575A7E">
        <w:rPr>
          <w:rFonts w:ascii="Calibri" w:eastAsia="Calibri" w:hAnsi="Calibri" w:cs="Times New Roman"/>
          <w:color w:val="595959" w:themeColor="text1" w:themeTint="A6"/>
        </w:rPr>
        <w:t>ιαχρονικά, το μεγαλύτερο μέρος των κρατικών δαπανών στην Ευρωζώνη αφορά τις δαπάνες που συνδέονται με την κοινωνική πολιτική</w:t>
      </w:r>
      <w:r w:rsidR="007E7E9C" w:rsidRPr="00575A7E">
        <w:rPr>
          <w:rFonts w:ascii="Calibri" w:eastAsia="Calibri" w:hAnsi="Calibri" w:cs="Times New Roman"/>
          <w:color w:val="595959" w:themeColor="text1" w:themeTint="A6"/>
          <w:vertAlign w:val="superscript"/>
        </w:rPr>
        <w:footnoteReference w:id="16"/>
      </w:r>
      <w:r w:rsidR="007E7E9C" w:rsidRPr="00575A7E">
        <w:rPr>
          <w:rFonts w:ascii="Calibri" w:eastAsia="Calibri" w:hAnsi="Calibri" w:cs="Times New Roman"/>
          <w:color w:val="595959" w:themeColor="text1" w:themeTint="A6"/>
        </w:rPr>
        <w:t xml:space="preserve">, οι οποίες εμφανίζουν πτωτική τάση ως ποσοστό του ΑΕΠ από το 2013 και εξής (από 33,1% το 2013 σε 31,7% το 2018) και μικρή αύξηση το 2019 (32,2%). </w:t>
      </w:r>
    </w:p>
    <w:p w14:paraId="4561CD62" w14:textId="77777777" w:rsidR="007E7E9C" w:rsidRPr="00575A7E" w:rsidRDefault="007E7E9C" w:rsidP="003B1BE9">
      <w:pPr>
        <w:spacing w:line="276" w:lineRule="auto"/>
        <w:jc w:val="both"/>
        <w:rPr>
          <w:color w:val="595959" w:themeColor="text1" w:themeTint="A6"/>
        </w:rPr>
      </w:pPr>
      <w:r w:rsidRPr="00575A7E">
        <w:rPr>
          <w:rFonts w:ascii="Calibri" w:eastAsia="Calibri" w:hAnsi="Calibri" w:cs="Times New Roman"/>
          <w:color w:val="595959" w:themeColor="text1" w:themeTint="A6"/>
        </w:rPr>
        <w:t>Ειδικότερα, οι δαπάνες κοινωνικής προστασίας</w:t>
      </w:r>
      <w:r w:rsidRPr="00575A7E">
        <w:rPr>
          <w:rFonts w:ascii="Calibri" w:eastAsia="Calibri" w:hAnsi="Calibri" w:cs="Times New Roman"/>
          <w:color w:val="595959" w:themeColor="text1" w:themeTint="A6"/>
          <w:vertAlign w:val="superscript"/>
        </w:rPr>
        <w:footnoteReference w:id="17"/>
      </w:r>
      <w:r w:rsidR="00B27394" w:rsidRPr="00575A7E">
        <w:rPr>
          <w:rFonts w:ascii="Calibri" w:eastAsia="Calibri" w:hAnsi="Calibri" w:cs="Times New Roman"/>
          <w:color w:val="595959" w:themeColor="text1" w:themeTint="A6"/>
        </w:rPr>
        <w:t xml:space="preserve"> </w:t>
      </w:r>
      <w:r w:rsidRPr="00575A7E">
        <w:rPr>
          <w:rFonts w:ascii="Calibri" w:eastAsia="Calibri" w:hAnsi="Calibri" w:cs="Times New Roman"/>
          <w:color w:val="595959" w:themeColor="text1" w:themeTint="A6"/>
        </w:rPr>
        <w:t>(στις οποίες περιλαμβάνονται και οι δαπάνες καταβολής συντάξεων), που αποτελούν το μεγαλύτερο μέρος των κοινωνικών δαπανών και φαίνεται να διαμορφώνουν την τάση των κοινωνικών δαπανών στην Ευρωζώνη, εμφανίζονται μειούμενες ως ποσοστό του ΑΕΠ από το 2013 και μετά (από 20,3% το 2013 σε 19,6% το 2018) και παρουσιάζουν ελαφρά άνοδο το 2019 (19,8% του ΑΕΠ).</w:t>
      </w:r>
    </w:p>
    <w:p w14:paraId="5410F541" w14:textId="33299668" w:rsidR="00805630" w:rsidRPr="00575A7E" w:rsidRDefault="00D960BC" w:rsidP="00D960BC">
      <w:pPr>
        <w:pStyle w:val="ae"/>
        <w:jc w:val="center"/>
      </w:pPr>
      <w:bookmarkStart w:id="155" w:name="_Toc67396701"/>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11</w:t>
      </w:r>
      <w:r w:rsidR="0096217C">
        <w:rPr>
          <w:noProof/>
        </w:rPr>
        <w:fldChar w:fldCharType="end"/>
      </w:r>
      <w:r w:rsidR="00805630" w:rsidRPr="00575A7E">
        <w:t xml:space="preserve"> Ελλάδα-Ευρωζώνη: Κοινωνικές Δαπάνες ως % του ΑΕΠ, 2010-2019</w:t>
      </w:r>
      <w:bookmarkEnd w:id="155"/>
    </w:p>
    <w:p w14:paraId="299D917C" w14:textId="77777777" w:rsidR="007E7E9C" w:rsidRPr="00575A7E" w:rsidRDefault="00867668" w:rsidP="003B1BE9">
      <w:pPr>
        <w:spacing w:after="0" w:line="276" w:lineRule="auto"/>
        <w:jc w:val="center"/>
      </w:pPr>
      <w:r w:rsidRPr="00575A7E">
        <w:rPr>
          <w:noProof/>
          <w:lang w:eastAsia="el-GR"/>
        </w:rPr>
        <w:drawing>
          <wp:inline distT="0" distB="0" distL="0" distR="0" wp14:anchorId="4D64CCA6" wp14:editId="3CB9E0D9">
            <wp:extent cx="3643952" cy="2259373"/>
            <wp:effectExtent l="0" t="0" r="0" b="762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72656" cy="2277170"/>
                    </a:xfrm>
                    <a:prstGeom prst="rect">
                      <a:avLst/>
                    </a:prstGeom>
                    <a:noFill/>
                    <a:ln>
                      <a:noFill/>
                    </a:ln>
                  </pic:spPr>
                </pic:pic>
              </a:graphicData>
            </a:graphic>
          </wp:inline>
        </w:drawing>
      </w:r>
    </w:p>
    <w:p w14:paraId="1CE317D8" w14:textId="77777777" w:rsidR="00805630" w:rsidRPr="00575A7E" w:rsidRDefault="00805630" w:rsidP="003B1BE9">
      <w:pPr>
        <w:spacing w:after="0" w:line="276" w:lineRule="auto"/>
        <w:jc w:val="both"/>
      </w:pPr>
    </w:p>
    <w:p w14:paraId="4F166C1F" w14:textId="3EB013E6" w:rsidR="00805630" w:rsidRPr="00575A7E" w:rsidRDefault="00D960BC" w:rsidP="00D960BC">
      <w:pPr>
        <w:pStyle w:val="ae"/>
        <w:jc w:val="center"/>
      </w:pPr>
      <w:bookmarkStart w:id="156" w:name="_Toc67396702"/>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12</w:t>
      </w:r>
      <w:r w:rsidR="0096217C">
        <w:rPr>
          <w:noProof/>
        </w:rPr>
        <w:fldChar w:fldCharType="end"/>
      </w:r>
      <w:r w:rsidR="00805630" w:rsidRPr="00575A7E">
        <w:t xml:space="preserve"> Ελλάδα-Ευρωζώνη: Δαπάνες Κοινωνικής Προστασίας ως % του ΑΕΠ, 2010-2019</w:t>
      </w:r>
      <w:bookmarkEnd w:id="156"/>
    </w:p>
    <w:p w14:paraId="2A3EB303" w14:textId="77777777" w:rsidR="007E7E9C" w:rsidRPr="00575A7E" w:rsidRDefault="00F64D8C" w:rsidP="003B1BE9">
      <w:pPr>
        <w:spacing w:after="0" w:line="276" w:lineRule="auto"/>
        <w:jc w:val="center"/>
      </w:pPr>
      <w:r w:rsidRPr="00575A7E">
        <w:rPr>
          <w:noProof/>
          <w:lang w:eastAsia="el-GR"/>
        </w:rPr>
        <w:drawing>
          <wp:inline distT="0" distB="0" distL="0" distR="0" wp14:anchorId="72CA2AA1" wp14:editId="1CA550EA">
            <wp:extent cx="3562066" cy="2085520"/>
            <wp:effectExtent l="0" t="0" r="63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00013" cy="2107737"/>
                    </a:xfrm>
                    <a:prstGeom prst="rect">
                      <a:avLst/>
                    </a:prstGeom>
                    <a:noFill/>
                    <a:ln>
                      <a:noFill/>
                    </a:ln>
                  </pic:spPr>
                </pic:pic>
              </a:graphicData>
            </a:graphic>
          </wp:inline>
        </w:drawing>
      </w:r>
    </w:p>
    <w:p w14:paraId="42663416" w14:textId="77777777" w:rsidR="007E7E9C" w:rsidRPr="00575A7E" w:rsidRDefault="007E7E9C" w:rsidP="003B1BE9">
      <w:pPr>
        <w:spacing w:after="0" w:line="276" w:lineRule="auto"/>
        <w:jc w:val="both"/>
      </w:pPr>
    </w:p>
    <w:p w14:paraId="65E8FA18" w14:textId="77777777" w:rsidR="007E7E9C" w:rsidRPr="00575A7E" w:rsidRDefault="007E7E9C"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rPr>
        <w:lastRenderedPageBreak/>
        <w:t xml:space="preserve">Στην Ελλάδα οι κοινωνικές δαπάνες ακολουθούν την τάση της Ευρωζώνης παραμένοντας συστηματικά χαμηλότερες από τον ευρωπαϊκό μέσο όρο, με τις δαπάνες κοινωνικής προστασίας να αποτελούν το μεγαλύτερο μέρος τους για όλο το υπό εξέταση διάστημα 2010 – 2019. </w:t>
      </w:r>
      <w:r w:rsidRPr="00575A7E">
        <w:rPr>
          <w:rFonts w:ascii="Calibri" w:eastAsia="Calibri" w:hAnsi="Calibri" w:cs="Times New Roman"/>
          <w:color w:val="595959" w:themeColor="text1" w:themeTint="A6"/>
        </w:rPr>
        <w:t xml:space="preserve">Ως ποσοστό του ΑΕΠ οι κοινωνικές δαπάνες αυξάνονται κατά την περίοδο 2010 – 2012 και μειώνονται στη συνέχεια (από 30,2% του ΑΕΠ το 2010 σε 32,0% το 2012 και 29,3% το 2019). </w:t>
      </w:r>
    </w:p>
    <w:p w14:paraId="35CF5D36" w14:textId="77777777" w:rsidR="007E7E9C" w:rsidRPr="00575A7E" w:rsidRDefault="007E7E9C" w:rsidP="003B1BE9">
      <w:pPr>
        <w:spacing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 xml:space="preserve">Οι δαπάνες κοινωνικής προστασίας και στην Ελλάδα (όπου το μεγαλύτερο μέρος τους αφορά τις δαπάνες για την τρίτη ηλικία και τις συντάξεις) φαίνεται ότι διαμορφώνουν σε μεγάλο βαθμό την τάση των κοινωνικών δαπανών, αν και, διαχρονικά, οι δαπάνες κοινωνικής προστασίας καταλαμβάνουν μεγαλύτερο ποσοστό των κοινωνικών δαπανών (από 62,9% των κοινωνικών δαπανών το 2010 σε 69,2% αυτών το 2016 και σε 67,6% το 2019). Κατά την περίοδο 2010 – 2019 οι δαπάνες κοινωνικής προστασίας ως ποσοστό του ΑΕΠ αυξάνονται συνολικά κατά 0,8 ποσοστιαίες μονάδες </w:t>
      </w:r>
      <w:proofErr w:type="spellStart"/>
      <w:r w:rsidRPr="00575A7E">
        <w:rPr>
          <w:rFonts w:ascii="Calibri" w:eastAsia="Calibri" w:hAnsi="Calibri" w:cs="Times New Roman"/>
          <w:color w:val="595959" w:themeColor="text1" w:themeTint="A6"/>
        </w:rPr>
        <w:t>εξισούμενες</w:t>
      </w:r>
      <w:proofErr w:type="spellEnd"/>
      <w:r w:rsidRPr="00575A7E">
        <w:rPr>
          <w:rFonts w:ascii="Calibri" w:eastAsia="Calibri" w:hAnsi="Calibri" w:cs="Times New Roman"/>
          <w:color w:val="595959" w:themeColor="text1" w:themeTint="A6"/>
        </w:rPr>
        <w:t xml:space="preserve"> με τον ευρωπαϊκό μέσο όρο το 2019 (19,8% του ΑΕΠ).</w:t>
      </w:r>
    </w:p>
    <w:p w14:paraId="6F37A912" w14:textId="77777777" w:rsidR="007E7E9C" w:rsidRPr="00575A7E" w:rsidRDefault="007E7E9C" w:rsidP="003B1BE9">
      <w:pPr>
        <w:spacing w:after="0" w:line="276" w:lineRule="auto"/>
        <w:jc w:val="both"/>
        <w:rPr>
          <w:rFonts w:ascii="Calibri" w:eastAsia="Calibri" w:hAnsi="Calibri" w:cs="Times New Roman"/>
          <w:color w:val="595959" w:themeColor="text1" w:themeTint="A6"/>
        </w:rPr>
      </w:pPr>
      <w:r w:rsidRPr="00575A7E">
        <w:rPr>
          <w:rFonts w:ascii="Calibri" w:eastAsia="Calibri" w:hAnsi="Calibri" w:cs="Times New Roman"/>
          <w:color w:val="595959" w:themeColor="text1" w:themeTint="A6"/>
        </w:rPr>
        <w:t>Συγκρίνοντας τη σύνθεση των κρατικών δαπανών της Ελλάδας με τον μέσο όρο της Ευρωζώνης το 2019, διαπιστώνουμε ότι ενώ στο σύνολο των δαπανών ως ποσοστό του ΑΕΠ η απόκλιση δεν είναι μεγάλη</w:t>
      </w:r>
      <w:r w:rsidRPr="00575A7E">
        <w:rPr>
          <w:rFonts w:ascii="Calibri" w:eastAsia="Calibri" w:hAnsi="Calibri" w:cs="Times New Roman"/>
          <w:color w:val="595959" w:themeColor="text1" w:themeTint="A6"/>
          <w:vertAlign w:val="superscript"/>
        </w:rPr>
        <w:footnoteReference w:id="18"/>
      </w:r>
      <w:r w:rsidRPr="00575A7E">
        <w:rPr>
          <w:rFonts w:ascii="Calibri" w:eastAsia="Calibri" w:hAnsi="Calibri" w:cs="Times New Roman"/>
          <w:color w:val="595959" w:themeColor="text1" w:themeTint="A6"/>
        </w:rPr>
        <w:t>, οι κοινωνικές δαπάνες αποτελούν αναλογικά μικρότερο ποσοστό των δημόσιων δαπανών στην Ελλάδα</w:t>
      </w:r>
      <w:r w:rsidRPr="00575A7E">
        <w:rPr>
          <w:rStyle w:val="a5"/>
          <w:rFonts w:ascii="Calibri" w:eastAsia="Calibri" w:hAnsi="Calibri" w:cs="Times New Roman"/>
          <w:color w:val="595959" w:themeColor="text1" w:themeTint="A6"/>
        </w:rPr>
        <w:footnoteReference w:id="19"/>
      </w:r>
      <w:r w:rsidRPr="00575A7E">
        <w:rPr>
          <w:rFonts w:ascii="Calibri" w:eastAsia="Calibri" w:hAnsi="Calibri" w:cs="Times New Roman"/>
          <w:color w:val="595959" w:themeColor="text1" w:themeTint="A6"/>
        </w:rPr>
        <w:t>, αλλά και ότι οι δαπάνες κοινωνικής προστασίας (19,8% του ΑΕΠ σε Ελλάδα και Ευρωζώνη) έχουν διαφορετικό επιμέρους ειδικό βάρος αφού στην Ελλάδα οι δαπάνες για συντάξεις και την τρίτη ηλικία (15,8% του ΑΕΠ) είναι μεγαλύτερες από τον μέσο όρο της Ευρωζώνης (12,4% ΑΕΠ), ενώ οι δαπάνες για την αντιμετώπιση του κοινωνικού αποκλεισμού και θεμάτων ασθένειας &amp; αναπηρίας είναι στην Ελλάδα (2,2% του ΑΕΠ) μικρότερες από το μέσο όρο της Ευρωζώνης (3,7% του ΑΕΠ), το ίδιο και οι δαπάνες για οικογενειακές παροχές και στέγαση (1,1% του ΑΕΠ στην Ελλάδα έναντι 2,0% του ΑΕΠ στην Ευρωζώνη). Από την άλλη, οι δαπάνες που κατευθύνονται προς γενικές δημόσιες υπηρεσίες, στην άμυνα και στη δημόσια τάξη &amp; ασφάλεια είναι αναλογικά υψηλότερες</w:t>
      </w:r>
      <w:r w:rsidRPr="00575A7E">
        <w:rPr>
          <w:rFonts w:ascii="Calibri" w:eastAsia="Calibri" w:hAnsi="Calibri" w:cs="Times New Roman"/>
          <w:color w:val="595959" w:themeColor="text1" w:themeTint="A6"/>
          <w:vertAlign w:val="superscript"/>
        </w:rPr>
        <w:footnoteReference w:id="20"/>
      </w:r>
      <w:r w:rsidRPr="00575A7E">
        <w:rPr>
          <w:rFonts w:ascii="Calibri" w:eastAsia="Calibri" w:hAnsi="Calibri" w:cs="Times New Roman"/>
          <w:color w:val="595959" w:themeColor="text1" w:themeTint="A6"/>
        </w:rPr>
        <w:t>,</w:t>
      </w:r>
      <w:r w:rsidRPr="00575A7E">
        <w:rPr>
          <w:rFonts w:ascii="Calibri" w:eastAsia="Calibri" w:hAnsi="Calibri" w:cs="Times New Roman"/>
          <w:color w:val="FF0000"/>
        </w:rPr>
        <w:t xml:space="preserve"> </w:t>
      </w:r>
      <w:r w:rsidRPr="00575A7E">
        <w:rPr>
          <w:rFonts w:ascii="Calibri" w:eastAsia="Calibri" w:hAnsi="Calibri" w:cs="Times New Roman"/>
          <w:color w:val="595959" w:themeColor="text1" w:themeTint="A6"/>
        </w:rPr>
        <w:t>αν και μειούμενες αθροιστικά από το 2011 και μετά</w:t>
      </w:r>
      <w:r w:rsidRPr="00575A7E">
        <w:rPr>
          <w:rFonts w:ascii="Calibri" w:eastAsia="Calibri" w:hAnsi="Calibri" w:cs="Times New Roman"/>
          <w:color w:val="595959" w:themeColor="text1" w:themeTint="A6"/>
          <w:vertAlign w:val="superscript"/>
        </w:rPr>
        <w:footnoteReference w:id="21"/>
      </w:r>
      <w:r w:rsidRPr="00575A7E">
        <w:rPr>
          <w:rFonts w:ascii="Calibri" w:eastAsia="Calibri" w:hAnsi="Calibri" w:cs="Times New Roman"/>
          <w:color w:val="595959" w:themeColor="text1" w:themeTint="A6"/>
        </w:rPr>
        <w:t>.</w:t>
      </w:r>
    </w:p>
    <w:p w14:paraId="455E0A2E" w14:textId="77777777" w:rsidR="002F5AF4" w:rsidRPr="00575A7E" w:rsidRDefault="002F5AF4" w:rsidP="003B1BE9">
      <w:pPr>
        <w:spacing w:after="0" w:line="276" w:lineRule="auto"/>
        <w:jc w:val="both"/>
        <w:rPr>
          <w:rFonts w:ascii="Calibri" w:eastAsia="Calibri" w:hAnsi="Calibri" w:cs="Times New Roman"/>
          <w:color w:val="595959" w:themeColor="text1" w:themeTint="A6"/>
        </w:rPr>
      </w:pPr>
    </w:p>
    <w:p w14:paraId="393B5896" w14:textId="38CBB62E" w:rsidR="009A52CB" w:rsidRPr="00575A7E" w:rsidRDefault="009A52CB" w:rsidP="003B1BE9">
      <w:pPr>
        <w:pStyle w:val="2"/>
        <w:spacing w:before="0" w:line="276" w:lineRule="auto"/>
        <w:jc w:val="both"/>
        <w:rPr>
          <w:rFonts w:eastAsia="Times New Roman"/>
        </w:rPr>
      </w:pPr>
      <w:bookmarkStart w:id="157" w:name="_Toc67401928"/>
      <w:r w:rsidRPr="00575A7E">
        <w:rPr>
          <w:rFonts w:eastAsia="Times New Roman"/>
        </w:rPr>
        <w:lastRenderedPageBreak/>
        <w:t>3.</w:t>
      </w:r>
      <w:r w:rsidR="005819E6" w:rsidRPr="00575A7E">
        <w:rPr>
          <w:rFonts w:eastAsia="Times New Roman"/>
        </w:rPr>
        <w:t>4</w:t>
      </w:r>
      <w:r w:rsidRPr="00575A7E">
        <w:rPr>
          <w:rFonts w:eastAsia="Times New Roman"/>
        </w:rPr>
        <w:t>. Τράπεζες</w:t>
      </w:r>
      <w:bookmarkEnd w:id="128"/>
      <w:bookmarkEnd w:id="129"/>
      <w:bookmarkEnd w:id="157"/>
    </w:p>
    <w:p w14:paraId="34C24165" w14:textId="77777777" w:rsidR="009858B0" w:rsidRPr="00575A7E" w:rsidRDefault="009858B0" w:rsidP="003B1BE9">
      <w:pPr>
        <w:spacing w:after="0" w:line="276" w:lineRule="auto"/>
        <w:jc w:val="both"/>
        <w:rPr>
          <w:rFonts w:ascii="Calibri" w:eastAsia="Calibri" w:hAnsi="Calibri" w:cs="Times New Roman"/>
        </w:rPr>
      </w:pPr>
    </w:p>
    <w:p w14:paraId="6CFFD893" w14:textId="4EB3B8B7" w:rsidR="009A52CB" w:rsidRPr="00575A7E" w:rsidRDefault="00A57564" w:rsidP="003B1BE9">
      <w:pPr>
        <w:spacing w:line="276" w:lineRule="auto"/>
        <w:jc w:val="both"/>
        <w:rPr>
          <w:rFonts w:ascii="Calibri" w:eastAsia="Calibri" w:hAnsi="Calibri" w:cs="Times New Roman"/>
          <w:color w:val="595959" w:themeColor="text1" w:themeTint="A6"/>
        </w:rPr>
      </w:pPr>
      <w:bookmarkStart w:id="158" w:name="_Hlk39567180"/>
      <w:r>
        <w:rPr>
          <w:rFonts w:ascii="Calibri" w:eastAsia="Calibri" w:hAnsi="Calibri" w:cs="Times New Roman"/>
          <w:color w:val="595959" w:themeColor="text1" w:themeTint="A6"/>
        </w:rPr>
        <w:t>Σ</w:t>
      </w:r>
      <w:r w:rsidR="009A52CB" w:rsidRPr="00575A7E">
        <w:rPr>
          <w:rFonts w:ascii="Calibri" w:eastAsia="Calibri" w:hAnsi="Calibri" w:cs="Times New Roman"/>
          <w:color w:val="595959" w:themeColor="text1" w:themeTint="A6"/>
        </w:rPr>
        <w:t xml:space="preserve">ύμφωνα με τα </w:t>
      </w:r>
      <w:hyperlink r:id="rId91" w:history="1">
        <w:r w:rsidR="009A52CB" w:rsidRPr="00575A7E">
          <w:rPr>
            <w:rFonts w:ascii="Calibri" w:eastAsia="Calibri" w:hAnsi="Calibri" w:cs="Times New Roman"/>
            <w:color w:val="595959" w:themeColor="text1" w:themeTint="A6"/>
            <w:u w:val="single"/>
          </w:rPr>
          <w:t>στοιχεία της</w:t>
        </w:r>
        <w:r w:rsidR="00C34765" w:rsidRPr="00575A7E">
          <w:rPr>
            <w:u w:val="single"/>
          </w:rPr>
          <w:t xml:space="preserve"> </w:t>
        </w:r>
        <w:r w:rsidR="00C34765" w:rsidRPr="00575A7E">
          <w:rPr>
            <w:rFonts w:ascii="Calibri" w:eastAsia="Calibri" w:hAnsi="Calibri" w:cs="Times New Roman"/>
            <w:color w:val="595959" w:themeColor="text1" w:themeTint="A6"/>
            <w:u w:val="single"/>
          </w:rPr>
          <w:t>Τράπεζας της Ελλάδος</w:t>
        </w:r>
        <w:r w:rsidR="009A52CB" w:rsidRPr="00575A7E">
          <w:rPr>
            <w:rFonts w:ascii="Calibri" w:eastAsia="Calibri" w:hAnsi="Calibri" w:cs="Times New Roman"/>
            <w:color w:val="595959" w:themeColor="text1" w:themeTint="A6"/>
            <w:u w:val="single"/>
          </w:rPr>
          <w:t xml:space="preserve"> </w:t>
        </w:r>
        <w:r w:rsidR="00C34765" w:rsidRPr="00575A7E">
          <w:rPr>
            <w:rFonts w:ascii="Calibri" w:eastAsia="Calibri" w:hAnsi="Calibri" w:cs="Times New Roman"/>
            <w:color w:val="595959" w:themeColor="text1" w:themeTint="A6"/>
            <w:u w:val="single"/>
          </w:rPr>
          <w:t>(</w:t>
        </w:r>
        <w:proofErr w:type="spellStart"/>
        <w:r w:rsidR="009A52CB" w:rsidRPr="00575A7E">
          <w:rPr>
            <w:rFonts w:ascii="Calibri" w:eastAsia="Calibri" w:hAnsi="Calibri" w:cs="Times New Roman"/>
            <w:color w:val="595959" w:themeColor="text1" w:themeTint="A6"/>
            <w:u w:val="single"/>
          </w:rPr>
          <w:t>ΤτΕ</w:t>
        </w:r>
        <w:proofErr w:type="spellEnd"/>
      </w:hyperlink>
      <w:r w:rsidR="00C34765" w:rsidRPr="00575A7E">
        <w:rPr>
          <w:rFonts w:ascii="Calibri" w:eastAsia="Calibri" w:hAnsi="Calibri" w:cs="Times New Roman"/>
          <w:color w:val="595959" w:themeColor="text1" w:themeTint="A6"/>
          <w:u w:val="single"/>
        </w:rPr>
        <w:t>)</w:t>
      </w:r>
      <w:r w:rsidR="009A52CB" w:rsidRPr="00575A7E">
        <w:rPr>
          <w:rFonts w:ascii="Calibri" w:eastAsia="Calibri" w:hAnsi="Calibri" w:cs="Times New Roman"/>
          <w:color w:val="595959" w:themeColor="text1" w:themeTint="A6"/>
        </w:rPr>
        <w:t xml:space="preserve">, οι ελληνικές τράπεζες σημείωσαν πρόοδο στη μείωση των ΜΕΔ, τα οποία διαμορφώθηκαν στο τέλος </w:t>
      </w:r>
      <w:r w:rsidR="0044266D">
        <w:rPr>
          <w:rFonts w:ascii="Calibri" w:eastAsia="Calibri" w:hAnsi="Calibri" w:cs="Times New Roman"/>
          <w:color w:val="595959" w:themeColor="text1" w:themeTint="A6"/>
        </w:rPr>
        <w:t>Δεκεμβρίου</w:t>
      </w:r>
      <w:r w:rsidR="0044266D" w:rsidRPr="00575A7E">
        <w:rPr>
          <w:rFonts w:ascii="Calibri" w:eastAsia="Calibri" w:hAnsi="Calibri" w:cs="Times New Roman"/>
          <w:color w:val="595959" w:themeColor="text1" w:themeTint="A6"/>
        </w:rPr>
        <w:t xml:space="preserve"> </w:t>
      </w:r>
      <w:r w:rsidR="009A52CB" w:rsidRPr="00575A7E">
        <w:rPr>
          <w:rFonts w:ascii="Calibri" w:eastAsia="Calibri" w:hAnsi="Calibri" w:cs="Times New Roman"/>
          <w:color w:val="595959" w:themeColor="text1" w:themeTint="A6"/>
        </w:rPr>
        <w:t>20</w:t>
      </w:r>
      <w:r w:rsidR="005F79FD" w:rsidRPr="00575A7E">
        <w:rPr>
          <w:rFonts w:ascii="Calibri" w:eastAsia="Calibri" w:hAnsi="Calibri" w:cs="Times New Roman"/>
          <w:color w:val="595959" w:themeColor="text1" w:themeTint="A6"/>
        </w:rPr>
        <w:t>20</w:t>
      </w:r>
      <w:r w:rsidR="009A52CB" w:rsidRPr="00575A7E">
        <w:rPr>
          <w:rFonts w:ascii="Calibri" w:eastAsia="Calibri" w:hAnsi="Calibri" w:cs="Times New Roman"/>
          <w:color w:val="595959" w:themeColor="text1" w:themeTint="A6"/>
        </w:rPr>
        <w:t xml:space="preserve"> σε </w:t>
      </w:r>
      <w:r w:rsidR="0044266D">
        <w:rPr>
          <w:rFonts w:ascii="Calibri" w:eastAsia="Calibri" w:hAnsi="Calibri" w:cs="Times New Roman"/>
          <w:color w:val="595959" w:themeColor="text1" w:themeTint="A6"/>
        </w:rPr>
        <w:t>58</w:t>
      </w:r>
      <w:r w:rsidR="009A52CB" w:rsidRPr="00575A7E">
        <w:rPr>
          <w:rFonts w:ascii="Calibri" w:eastAsia="Calibri" w:hAnsi="Calibri" w:cs="Times New Roman"/>
          <w:color w:val="595959" w:themeColor="text1" w:themeTint="A6"/>
        </w:rPr>
        <w:t>,</w:t>
      </w:r>
      <w:r w:rsidR="0044266D">
        <w:rPr>
          <w:rFonts w:ascii="Calibri" w:eastAsia="Calibri" w:hAnsi="Calibri" w:cs="Times New Roman"/>
          <w:color w:val="595959" w:themeColor="text1" w:themeTint="A6"/>
        </w:rPr>
        <w:t>1</w:t>
      </w:r>
      <w:r w:rsidR="009A52CB" w:rsidRPr="00575A7E">
        <w:rPr>
          <w:rFonts w:ascii="Calibri" w:eastAsia="Calibri" w:hAnsi="Calibri" w:cs="Times New Roman"/>
          <w:color w:val="595959" w:themeColor="text1" w:themeTint="A6"/>
        </w:rPr>
        <w:t xml:space="preserve"> δις ευρώ, μειωμένα κατά </w:t>
      </w:r>
      <w:r w:rsidR="00D3225D" w:rsidRPr="00575A7E">
        <w:rPr>
          <w:rFonts w:ascii="Calibri" w:eastAsia="Calibri" w:hAnsi="Calibri" w:cs="Times New Roman"/>
          <w:color w:val="595959" w:themeColor="text1" w:themeTint="A6"/>
        </w:rPr>
        <w:t>1</w:t>
      </w:r>
      <w:r w:rsidR="0044266D">
        <w:rPr>
          <w:rFonts w:ascii="Calibri" w:eastAsia="Calibri" w:hAnsi="Calibri" w:cs="Times New Roman"/>
          <w:color w:val="595959" w:themeColor="text1" w:themeTint="A6"/>
        </w:rPr>
        <w:t>5</w:t>
      </w:r>
      <w:r w:rsidR="00A965ED" w:rsidRPr="00575A7E">
        <w:rPr>
          <w:rFonts w:ascii="Calibri" w:eastAsia="Calibri" w:hAnsi="Calibri" w:cs="Times New Roman"/>
          <w:color w:val="595959" w:themeColor="text1" w:themeTint="A6"/>
        </w:rPr>
        <w:t>,</w:t>
      </w:r>
      <w:r w:rsidR="0044266D">
        <w:rPr>
          <w:rFonts w:ascii="Calibri" w:eastAsia="Calibri" w:hAnsi="Calibri" w:cs="Times New Roman"/>
          <w:color w:val="595959" w:themeColor="text1" w:themeTint="A6"/>
        </w:rPr>
        <w:t>4</w:t>
      </w:r>
      <w:r w:rsidR="009A52CB" w:rsidRPr="00575A7E">
        <w:rPr>
          <w:rFonts w:ascii="Calibri" w:eastAsia="Calibri" w:hAnsi="Calibri" w:cs="Times New Roman"/>
          <w:color w:val="595959" w:themeColor="text1" w:themeTint="A6"/>
        </w:rPr>
        <w:t xml:space="preserve"> </w:t>
      </w:r>
      <w:bookmarkStart w:id="159" w:name="_Hlk39223537"/>
      <w:r w:rsidR="009A52CB" w:rsidRPr="00575A7E">
        <w:rPr>
          <w:rFonts w:ascii="Calibri" w:eastAsia="Calibri" w:hAnsi="Calibri" w:cs="Times New Roman"/>
          <w:color w:val="595959" w:themeColor="text1" w:themeTint="A6"/>
        </w:rPr>
        <w:t xml:space="preserve">δις </w:t>
      </w:r>
      <w:bookmarkEnd w:id="159"/>
      <w:r w:rsidR="009A52CB" w:rsidRPr="00575A7E">
        <w:rPr>
          <w:rFonts w:ascii="Calibri" w:eastAsia="Calibri" w:hAnsi="Calibri" w:cs="Times New Roman"/>
          <w:color w:val="595959" w:themeColor="text1" w:themeTint="A6"/>
        </w:rPr>
        <w:t>ευρώ συγκριτικά με το τέλος Δεκεμβρίου 201</w:t>
      </w:r>
      <w:r w:rsidR="005F79FD" w:rsidRPr="00575A7E">
        <w:rPr>
          <w:rFonts w:ascii="Calibri" w:eastAsia="Calibri" w:hAnsi="Calibri" w:cs="Times New Roman"/>
          <w:color w:val="595959" w:themeColor="text1" w:themeTint="A6"/>
        </w:rPr>
        <w:t>9</w:t>
      </w:r>
      <w:r w:rsidR="00241513" w:rsidRPr="00575A7E">
        <w:rPr>
          <w:rFonts w:ascii="Calibri" w:eastAsia="Calibri" w:hAnsi="Calibri" w:cs="Times New Roman"/>
          <w:color w:val="595959" w:themeColor="text1" w:themeTint="A6"/>
        </w:rPr>
        <w:t xml:space="preserve"> (βλ. </w:t>
      </w:r>
      <w:r w:rsidR="00241513" w:rsidRPr="00614A7A">
        <w:rPr>
          <w:rFonts w:ascii="Calibri" w:eastAsia="Calibri" w:hAnsi="Calibri" w:cs="Times New Roman"/>
          <w:color w:val="595959" w:themeColor="text1" w:themeTint="A6"/>
        </w:rPr>
        <w:t>παρακάτω Διάγραμμα)</w:t>
      </w:r>
      <w:r w:rsidR="00C34765" w:rsidRPr="00614A7A">
        <w:rPr>
          <w:rFonts w:ascii="Calibri" w:eastAsia="Calibri" w:hAnsi="Calibri" w:cs="Times New Roman"/>
          <w:color w:val="595959" w:themeColor="text1" w:themeTint="A6"/>
        </w:rPr>
        <w:t xml:space="preserve"> και κατά </w:t>
      </w:r>
      <w:r w:rsidR="0044266D" w:rsidRPr="00614A7A">
        <w:rPr>
          <w:rFonts w:ascii="Calibri" w:eastAsia="Calibri" w:hAnsi="Calibri" w:cs="Times New Roman"/>
          <w:color w:val="595959" w:themeColor="text1" w:themeTint="A6"/>
        </w:rPr>
        <w:t>61</w:t>
      </w:r>
      <w:r w:rsidR="00C34765" w:rsidRPr="00614A7A">
        <w:rPr>
          <w:rFonts w:ascii="Calibri" w:eastAsia="Calibri" w:hAnsi="Calibri" w:cs="Times New Roman"/>
          <w:color w:val="595959" w:themeColor="text1" w:themeTint="A6"/>
        </w:rPr>
        <w:t>,</w:t>
      </w:r>
      <w:r w:rsidR="0044266D" w:rsidRPr="00614A7A">
        <w:rPr>
          <w:rFonts w:ascii="Calibri" w:eastAsia="Calibri" w:hAnsi="Calibri" w:cs="Times New Roman"/>
          <w:color w:val="595959" w:themeColor="text1" w:themeTint="A6"/>
        </w:rPr>
        <w:t>6</w:t>
      </w:r>
      <w:r w:rsidR="00C34765" w:rsidRPr="00614A7A">
        <w:rPr>
          <w:rFonts w:ascii="Calibri" w:eastAsia="Calibri" w:hAnsi="Calibri" w:cs="Times New Roman"/>
          <w:color w:val="595959" w:themeColor="text1" w:themeTint="A6"/>
        </w:rPr>
        <w:t xml:space="preserve"> δις ευρώ </w:t>
      </w:r>
      <w:r w:rsidR="00804592" w:rsidRPr="00614A7A">
        <w:rPr>
          <w:rFonts w:ascii="Calibri" w:eastAsia="Calibri" w:hAnsi="Calibri" w:cs="Times New Roman"/>
          <w:color w:val="595959" w:themeColor="text1" w:themeTint="A6"/>
        </w:rPr>
        <w:t>συγκριτικά με το τέλος</w:t>
      </w:r>
      <w:r w:rsidR="00C34765" w:rsidRPr="00614A7A">
        <w:rPr>
          <w:rFonts w:ascii="Calibri" w:eastAsia="Calibri" w:hAnsi="Calibri" w:cs="Times New Roman"/>
          <w:color w:val="595959" w:themeColor="text1" w:themeTint="A6"/>
        </w:rPr>
        <w:t xml:space="preserve"> </w:t>
      </w:r>
      <w:r w:rsidR="00A60519" w:rsidRPr="00614A7A">
        <w:rPr>
          <w:rFonts w:ascii="Calibri" w:eastAsia="Calibri" w:hAnsi="Calibri" w:cs="Times New Roman"/>
          <w:color w:val="595959" w:themeColor="text1" w:themeTint="A6"/>
        </w:rPr>
        <w:t>Σεπτεμβρίου</w:t>
      </w:r>
      <w:r w:rsidR="00C34765" w:rsidRPr="00614A7A">
        <w:rPr>
          <w:rFonts w:ascii="Calibri" w:eastAsia="Calibri" w:hAnsi="Calibri" w:cs="Times New Roman"/>
          <w:color w:val="595959" w:themeColor="text1" w:themeTint="A6"/>
        </w:rPr>
        <w:t xml:space="preserve"> 201</w:t>
      </w:r>
      <w:r w:rsidR="00A60519" w:rsidRPr="00614A7A">
        <w:rPr>
          <w:rFonts w:ascii="Calibri" w:eastAsia="Calibri" w:hAnsi="Calibri" w:cs="Times New Roman"/>
          <w:color w:val="595959" w:themeColor="text1" w:themeTint="A6"/>
        </w:rPr>
        <w:t>5</w:t>
      </w:r>
      <w:r w:rsidR="00C34765" w:rsidRPr="00614A7A">
        <w:rPr>
          <w:rFonts w:ascii="Calibri" w:eastAsia="Calibri" w:hAnsi="Calibri" w:cs="Times New Roman"/>
          <w:color w:val="595959" w:themeColor="text1" w:themeTint="A6"/>
        </w:rPr>
        <w:t>, οπότε είχε καταγραφεί και το υψηλότερο επίπεδο ΜΕΔ</w:t>
      </w:r>
      <w:bookmarkEnd w:id="158"/>
      <w:r w:rsidR="009A52CB" w:rsidRPr="00614A7A">
        <w:rPr>
          <w:rFonts w:ascii="Calibri" w:eastAsia="Calibri" w:hAnsi="Calibri" w:cs="Times New Roman"/>
          <w:color w:val="595959" w:themeColor="text1" w:themeTint="A6"/>
        </w:rPr>
        <w:t>.</w:t>
      </w:r>
      <w:r w:rsidR="009A52CB" w:rsidRPr="00575A7E">
        <w:rPr>
          <w:rFonts w:ascii="Calibri" w:eastAsia="Calibri" w:hAnsi="Calibri" w:cs="Times New Roman"/>
          <w:color w:val="595959" w:themeColor="text1" w:themeTint="A6"/>
        </w:rPr>
        <w:t xml:space="preserve"> </w:t>
      </w:r>
    </w:p>
    <w:p w14:paraId="2E2463A8" w14:textId="77777777" w:rsidR="00AA1537" w:rsidRPr="00575A7E" w:rsidRDefault="009A52CB" w:rsidP="003B1BE9">
      <w:pPr>
        <w:spacing w:line="276" w:lineRule="auto"/>
        <w:jc w:val="both"/>
        <w:rPr>
          <w:rFonts w:ascii="Calibri" w:eastAsia="Calibri" w:hAnsi="Calibri" w:cs="Times New Roman"/>
        </w:rPr>
      </w:pPr>
      <w:r w:rsidRPr="00575A7E">
        <w:rPr>
          <w:rFonts w:ascii="Calibri" w:eastAsia="Calibri" w:hAnsi="Calibri" w:cs="Times New Roman"/>
          <w:color w:val="595959" w:themeColor="text1" w:themeTint="A6"/>
        </w:rPr>
        <w:t xml:space="preserve">Τον </w:t>
      </w:r>
      <w:r w:rsidR="00614A7A">
        <w:rPr>
          <w:rFonts w:ascii="Calibri" w:eastAsia="Calibri" w:hAnsi="Calibri" w:cs="Times New Roman"/>
          <w:color w:val="595959" w:themeColor="text1" w:themeTint="A6"/>
        </w:rPr>
        <w:t>Δεκέμβριο</w:t>
      </w:r>
      <w:r w:rsidR="00614A7A" w:rsidRPr="00575A7E">
        <w:rPr>
          <w:rFonts w:ascii="Calibri" w:eastAsia="Calibri" w:hAnsi="Calibri" w:cs="Times New Roman"/>
          <w:color w:val="595959" w:themeColor="text1" w:themeTint="A6"/>
        </w:rPr>
        <w:t xml:space="preserve"> </w:t>
      </w:r>
      <w:r w:rsidRPr="00575A7E">
        <w:rPr>
          <w:rFonts w:ascii="Calibri" w:eastAsia="Calibri" w:hAnsi="Calibri" w:cs="Times New Roman"/>
          <w:color w:val="595959" w:themeColor="text1" w:themeTint="A6"/>
        </w:rPr>
        <w:t>20</w:t>
      </w:r>
      <w:r w:rsidR="00B90FC8" w:rsidRPr="00575A7E">
        <w:rPr>
          <w:rFonts w:ascii="Calibri" w:eastAsia="Calibri" w:hAnsi="Calibri" w:cs="Times New Roman"/>
          <w:color w:val="595959" w:themeColor="text1" w:themeTint="A6"/>
        </w:rPr>
        <w:t>20</w:t>
      </w:r>
      <w:r w:rsidRPr="00575A7E">
        <w:rPr>
          <w:rFonts w:ascii="Calibri" w:eastAsia="Calibri" w:hAnsi="Calibri" w:cs="Times New Roman"/>
          <w:color w:val="595959" w:themeColor="text1" w:themeTint="A6"/>
        </w:rPr>
        <w:t xml:space="preserve"> ο λόγος των ΜΕΔ</w:t>
      </w:r>
      <w:r w:rsidRPr="00575A7E">
        <w:rPr>
          <w:rFonts w:ascii="Calibri" w:eastAsia="Calibri" w:hAnsi="Calibri" w:cs="Times New Roman"/>
          <w:color w:val="595959" w:themeColor="text1" w:themeTint="A6"/>
          <w:vertAlign w:val="superscript"/>
        </w:rPr>
        <w:footnoteReference w:id="22"/>
      </w:r>
      <w:r w:rsidRPr="00575A7E">
        <w:rPr>
          <w:rFonts w:ascii="Calibri" w:eastAsia="Calibri" w:hAnsi="Calibri" w:cs="Times New Roman"/>
          <w:color w:val="595959" w:themeColor="text1" w:themeTint="A6"/>
        </w:rPr>
        <w:t xml:space="preserve"> προς το σύνολο των δανείων παρέμεινε σε υψηλό επίπεδο (</w:t>
      </w:r>
      <w:r w:rsidR="009B3584" w:rsidRPr="00575A7E">
        <w:rPr>
          <w:rFonts w:ascii="Calibri" w:eastAsia="Calibri" w:hAnsi="Calibri" w:cs="Times New Roman"/>
          <w:color w:val="595959" w:themeColor="text1" w:themeTint="A6"/>
        </w:rPr>
        <w:t>3</w:t>
      </w:r>
      <w:r w:rsidR="0024413C">
        <w:rPr>
          <w:rFonts w:ascii="Calibri" w:eastAsia="Calibri" w:hAnsi="Calibri" w:cs="Times New Roman"/>
          <w:color w:val="595959" w:themeColor="text1" w:themeTint="A6"/>
        </w:rPr>
        <w:t>2</w:t>
      </w:r>
      <w:r w:rsidRPr="00575A7E">
        <w:rPr>
          <w:rFonts w:ascii="Calibri" w:eastAsia="Calibri" w:hAnsi="Calibri" w:cs="Times New Roman"/>
          <w:color w:val="595959" w:themeColor="text1" w:themeTint="A6"/>
        </w:rPr>
        <w:t>,</w:t>
      </w:r>
      <w:r w:rsidR="0024413C">
        <w:rPr>
          <w:rFonts w:ascii="Calibri" w:eastAsia="Calibri" w:hAnsi="Calibri" w:cs="Times New Roman"/>
          <w:color w:val="595959" w:themeColor="text1" w:themeTint="A6"/>
        </w:rPr>
        <w:t>9</w:t>
      </w:r>
      <w:r w:rsidRPr="00575A7E">
        <w:rPr>
          <w:rFonts w:ascii="Calibri" w:eastAsia="Calibri" w:hAnsi="Calibri" w:cs="Times New Roman"/>
          <w:color w:val="595959" w:themeColor="text1" w:themeTint="A6"/>
        </w:rPr>
        <w:t xml:space="preserve">%). Ως προς τις επιμέρους κατηγορίες χαρτοφυλακίων, ο </w:t>
      </w:r>
      <w:r w:rsidR="00D53EA9" w:rsidRPr="00575A7E">
        <w:rPr>
          <w:rFonts w:ascii="Calibri" w:eastAsia="Calibri" w:hAnsi="Calibri" w:cs="Times New Roman"/>
          <w:color w:val="595959" w:themeColor="text1" w:themeTint="A6"/>
        </w:rPr>
        <w:t>λόγος</w:t>
      </w:r>
      <w:r w:rsidRPr="00575A7E">
        <w:rPr>
          <w:rFonts w:ascii="Calibri" w:eastAsia="Calibri" w:hAnsi="Calibri" w:cs="Times New Roman"/>
          <w:color w:val="595959" w:themeColor="text1" w:themeTint="A6"/>
        </w:rPr>
        <w:t xml:space="preserve"> διαμορφώθηκε σε </w:t>
      </w:r>
      <w:r w:rsidR="00342D71" w:rsidRPr="00575A7E">
        <w:rPr>
          <w:rFonts w:ascii="Calibri" w:eastAsia="Calibri" w:hAnsi="Calibri" w:cs="Times New Roman"/>
          <w:color w:val="595959" w:themeColor="text1" w:themeTint="A6"/>
        </w:rPr>
        <w:t>3</w:t>
      </w:r>
      <w:r w:rsidR="0024413C">
        <w:rPr>
          <w:rFonts w:ascii="Calibri" w:eastAsia="Calibri" w:hAnsi="Calibri" w:cs="Times New Roman"/>
          <w:color w:val="595959" w:themeColor="text1" w:themeTint="A6"/>
        </w:rPr>
        <w:t>3</w:t>
      </w:r>
      <w:r w:rsidRPr="00575A7E">
        <w:rPr>
          <w:rFonts w:ascii="Calibri" w:eastAsia="Calibri" w:hAnsi="Calibri" w:cs="Times New Roman"/>
          <w:color w:val="595959" w:themeColor="text1" w:themeTint="A6"/>
        </w:rPr>
        <w:t>,</w:t>
      </w:r>
      <w:r w:rsidR="00D3225D" w:rsidRPr="00575A7E">
        <w:rPr>
          <w:rFonts w:ascii="Calibri" w:eastAsia="Calibri" w:hAnsi="Calibri" w:cs="Times New Roman"/>
          <w:color w:val="595959" w:themeColor="text1" w:themeTint="A6"/>
        </w:rPr>
        <w:t>9</w:t>
      </w:r>
      <w:r w:rsidRPr="00575A7E">
        <w:rPr>
          <w:rFonts w:ascii="Calibri" w:eastAsia="Calibri" w:hAnsi="Calibri" w:cs="Times New Roman"/>
          <w:color w:val="595959" w:themeColor="text1" w:themeTint="A6"/>
        </w:rPr>
        <w:t>% για το στεγαστικό, 4</w:t>
      </w:r>
      <w:r w:rsidR="00D3225D" w:rsidRPr="00575A7E">
        <w:rPr>
          <w:rFonts w:ascii="Calibri" w:eastAsia="Calibri" w:hAnsi="Calibri" w:cs="Times New Roman"/>
          <w:color w:val="595959" w:themeColor="text1" w:themeTint="A6"/>
        </w:rPr>
        <w:t>2</w:t>
      </w:r>
      <w:r w:rsidRPr="00575A7E">
        <w:rPr>
          <w:rFonts w:ascii="Calibri" w:eastAsia="Calibri" w:hAnsi="Calibri" w:cs="Times New Roman"/>
          <w:color w:val="595959" w:themeColor="text1" w:themeTint="A6"/>
        </w:rPr>
        <w:t>,</w:t>
      </w:r>
      <w:r w:rsidR="0024413C">
        <w:rPr>
          <w:rFonts w:ascii="Calibri" w:eastAsia="Calibri" w:hAnsi="Calibri" w:cs="Times New Roman"/>
          <w:color w:val="595959" w:themeColor="text1" w:themeTint="A6"/>
        </w:rPr>
        <w:t>8</w:t>
      </w:r>
      <w:r w:rsidRPr="00575A7E">
        <w:rPr>
          <w:rFonts w:ascii="Calibri" w:eastAsia="Calibri" w:hAnsi="Calibri" w:cs="Times New Roman"/>
          <w:color w:val="595959" w:themeColor="text1" w:themeTint="A6"/>
        </w:rPr>
        <w:t xml:space="preserve">% για το καταναλωτικό και </w:t>
      </w:r>
      <w:r w:rsidR="003263C4" w:rsidRPr="00575A7E">
        <w:rPr>
          <w:rFonts w:ascii="Calibri" w:eastAsia="Calibri" w:hAnsi="Calibri" w:cs="Times New Roman"/>
          <w:color w:val="595959" w:themeColor="text1" w:themeTint="A6"/>
        </w:rPr>
        <w:t>3</w:t>
      </w:r>
      <w:r w:rsidR="0024413C">
        <w:rPr>
          <w:rFonts w:ascii="Calibri" w:eastAsia="Calibri" w:hAnsi="Calibri" w:cs="Times New Roman"/>
          <w:color w:val="595959" w:themeColor="text1" w:themeTint="A6"/>
        </w:rPr>
        <w:t>0</w:t>
      </w:r>
      <w:r w:rsidRPr="00575A7E">
        <w:rPr>
          <w:rFonts w:ascii="Calibri" w:eastAsia="Calibri" w:hAnsi="Calibri" w:cs="Times New Roman"/>
          <w:color w:val="595959" w:themeColor="text1" w:themeTint="A6"/>
        </w:rPr>
        <w:t>,</w:t>
      </w:r>
      <w:r w:rsidR="0024413C">
        <w:rPr>
          <w:rFonts w:ascii="Calibri" w:eastAsia="Calibri" w:hAnsi="Calibri" w:cs="Times New Roman"/>
          <w:color w:val="595959" w:themeColor="text1" w:themeTint="A6"/>
        </w:rPr>
        <w:t>9</w:t>
      </w:r>
      <w:r w:rsidRPr="00575A7E">
        <w:rPr>
          <w:rFonts w:ascii="Calibri" w:eastAsia="Calibri" w:hAnsi="Calibri" w:cs="Times New Roman"/>
          <w:color w:val="595959" w:themeColor="text1" w:themeTint="A6"/>
        </w:rPr>
        <w:t xml:space="preserve">% για το επιχειρηματικό χαρτοφυλάκιο. </w:t>
      </w:r>
    </w:p>
    <w:p w14:paraId="450FFF5E" w14:textId="77777777" w:rsidR="00A14822" w:rsidRPr="00981D2C" w:rsidRDefault="00AA1537" w:rsidP="003B1BE9">
      <w:pPr>
        <w:spacing w:after="0" w:line="276" w:lineRule="auto"/>
        <w:jc w:val="both"/>
        <w:rPr>
          <w:rFonts w:ascii="Calibri" w:eastAsia="Calibri" w:hAnsi="Calibri" w:cs="Calibri"/>
          <w:color w:val="595959" w:themeColor="text1" w:themeTint="A6"/>
        </w:rPr>
      </w:pPr>
      <w:r w:rsidRPr="00575A7E">
        <w:rPr>
          <w:rFonts w:ascii="Calibri" w:eastAsia="Calibri" w:hAnsi="Calibri" w:cs="Times New Roman"/>
          <w:color w:val="595959" w:themeColor="text1" w:themeTint="A6"/>
        </w:rPr>
        <w:t>Πριν το ξέσπασμα της πανδημίας</w:t>
      </w:r>
      <w:r w:rsidR="00C51545" w:rsidRPr="00575A7E">
        <w:rPr>
          <w:rFonts w:ascii="Calibri" w:eastAsia="Calibri" w:hAnsi="Calibri" w:cs="Times New Roman"/>
          <w:color w:val="595959" w:themeColor="text1" w:themeTint="A6"/>
        </w:rPr>
        <w:t xml:space="preserve"> και των</w:t>
      </w:r>
      <w:r w:rsidR="000B03D0" w:rsidRPr="00575A7E">
        <w:rPr>
          <w:rFonts w:ascii="Calibri" w:eastAsia="Calibri" w:hAnsi="Calibri" w:cs="Times New Roman"/>
          <w:color w:val="595959" w:themeColor="text1" w:themeTint="A6"/>
        </w:rPr>
        <w:t xml:space="preserve"> ιδιαίτερα</w:t>
      </w:r>
      <w:r w:rsidR="00C51545" w:rsidRPr="00575A7E">
        <w:rPr>
          <w:rFonts w:ascii="Calibri" w:eastAsia="Calibri" w:hAnsi="Calibri" w:cs="Times New Roman"/>
          <w:color w:val="595959" w:themeColor="text1" w:themeTint="A6"/>
        </w:rPr>
        <w:t xml:space="preserve"> αρνητικών συνεπειών της στην οικονομία</w:t>
      </w:r>
      <w:r w:rsidR="00885D54">
        <w:rPr>
          <w:rFonts w:ascii="Calibri" w:eastAsia="Calibri" w:hAnsi="Calibri" w:cs="Times New Roman"/>
          <w:color w:val="595959" w:themeColor="text1" w:themeTint="A6"/>
        </w:rPr>
        <w:t>,</w:t>
      </w:r>
      <w:r w:rsidRPr="00575A7E">
        <w:rPr>
          <w:rFonts w:ascii="Calibri" w:eastAsia="Calibri" w:hAnsi="Calibri" w:cs="Times New Roman"/>
          <w:color w:val="595959" w:themeColor="text1" w:themeTint="A6"/>
        </w:rPr>
        <w:t xml:space="preserve"> ο στόχος για τον δείκτη ΜΕΔ ήταν να μειωθεί κάτω του 20% στο τέλος του 2021 με τη συμβολή</w:t>
      </w:r>
      <w:r w:rsidR="00502106" w:rsidRPr="00575A7E">
        <w:rPr>
          <w:rFonts w:ascii="Calibri" w:eastAsia="Calibri" w:hAnsi="Calibri" w:cs="Times New Roman"/>
          <w:color w:val="595959" w:themeColor="text1" w:themeTint="A6"/>
        </w:rPr>
        <w:t xml:space="preserve"> και</w:t>
      </w:r>
      <w:r w:rsidRPr="00575A7E">
        <w:rPr>
          <w:rFonts w:ascii="Calibri" w:eastAsia="Calibri" w:hAnsi="Calibri" w:cs="Times New Roman"/>
          <w:color w:val="595959" w:themeColor="text1" w:themeTint="A6"/>
        </w:rPr>
        <w:t xml:space="preserve"> του σχεδίου “Ηρακλής” (ν. 4649/2019). </w:t>
      </w:r>
      <w:r w:rsidR="00001587" w:rsidRPr="00575A7E">
        <w:rPr>
          <w:rFonts w:ascii="Calibri" w:eastAsia="Calibri" w:hAnsi="Calibri" w:cs="Times New Roman"/>
          <w:color w:val="595959" w:themeColor="text1" w:themeTint="A6"/>
        </w:rPr>
        <w:t>Ωστόσο, σ</w:t>
      </w:r>
      <w:r w:rsidR="00C34765" w:rsidRPr="00575A7E">
        <w:rPr>
          <w:rFonts w:ascii="Calibri" w:eastAsia="Calibri" w:hAnsi="Calibri" w:cs="Times New Roman"/>
          <w:color w:val="595959" w:themeColor="text1" w:themeTint="A6"/>
        </w:rPr>
        <w:t>ύμφωνα</w:t>
      </w:r>
      <w:r w:rsidR="00502106" w:rsidRPr="00575A7E">
        <w:rPr>
          <w:rFonts w:ascii="Calibri" w:eastAsia="Calibri" w:hAnsi="Calibri" w:cs="Times New Roman"/>
          <w:color w:val="595959" w:themeColor="text1" w:themeTint="A6"/>
        </w:rPr>
        <w:t xml:space="preserve"> </w:t>
      </w:r>
      <w:r w:rsidR="00C34765" w:rsidRPr="00575A7E">
        <w:rPr>
          <w:rFonts w:ascii="Calibri" w:eastAsia="Calibri" w:hAnsi="Calibri" w:cs="Times New Roman"/>
          <w:color w:val="595959" w:themeColor="text1" w:themeTint="A6"/>
        </w:rPr>
        <w:t xml:space="preserve">με την </w:t>
      </w:r>
      <w:hyperlink r:id="rId92" w:history="1">
        <w:r w:rsidR="006D482B" w:rsidRPr="00575A7E">
          <w:rPr>
            <w:color w:val="595959" w:themeColor="text1" w:themeTint="A6"/>
            <w:u w:val="single"/>
          </w:rPr>
          <w:t xml:space="preserve">Ενδιάμεση </w:t>
        </w:r>
        <w:r w:rsidR="003A7827" w:rsidRPr="00575A7E">
          <w:rPr>
            <w:color w:val="595959" w:themeColor="text1" w:themeTint="A6"/>
            <w:u w:val="single"/>
          </w:rPr>
          <w:t>Έ</w:t>
        </w:r>
        <w:r w:rsidR="00A47E52" w:rsidRPr="00575A7E">
          <w:rPr>
            <w:color w:val="595959" w:themeColor="text1" w:themeTint="A6"/>
            <w:u w:val="single"/>
          </w:rPr>
          <w:t>κθεση της Τράπεζας της Ελλάδος για τη Νομισματική Πολιτική</w:t>
        </w:r>
      </w:hyperlink>
      <w:r w:rsidR="00A47E52" w:rsidRPr="00575A7E">
        <w:rPr>
          <w:rFonts w:ascii="Calibri" w:eastAsia="Calibri" w:hAnsi="Calibri" w:cs="Times New Roman"/>
          <w:color w:val="595959" w:themeColor="text1" w:themeTint="A6"/>
        </w:rPr>
        <w:t xml:space="preserve"> </w:t>
      </w:r>
      <w:r w:rsidR="00C34765" w:rsidRPr="00575A7E">
        <w:rPr>
          <w:rFonts w:ascii="Calibri" w:eastAsia="Calibri" w:hAnsi="Calibri" w:cs="Times New Roman"/>
          <w:color w:val="595959" w:themeColor="text1" w:themeTint="A6"/>
        </w:rPr>
        <w:t>για το 20</w:t>
      </w:r>
      <w:r w:rsidR="006D482B" w:rsidRPr="00575A7E">
        <w:rPr>
          <w:rFonts w:ascii="Calibri" w:eastAsia="Calibri" w:hAnsi="Calibri" w:cs="Times New Roman"/>
          <w:color w:val="595959" w:themeColor="text1" w:themeTint="A6"/>
        </w:rPr>
        <w:t>20</w:t>
      </w:r>
      <w:r w:rsidR="00502106" w:rsidRPr="00575A7E">
        <w:rPr>
          <w:rFonts w:ascii="Calibri" w:eastAsia="Calibri" w:hAnsi="Calibri" w:cs="Times New Roman"/>
          <w:color w:val="595959" w:themeColor="text1" w:themeTint="A6"/>
        </w:rPr>
        <w:t xml:space="preserve"> (</w:t>
      </w:r>
      <w:r w:rsidR="003A7827" w:rsidRPr="00575A7E">
        <w:rPr>
          <w:rFonts w:ascii="Calibri" w:eastAsia="Calibri" w:hAnsi="Calibri" w:cs="Times New Roman"/>
          <w:color w:val="595959" w:themeColor="text1" w:themeTint="A6"/>
        </w:rPr>
        <w:t>Δεκέμβριος</w:t>
      </w:r>
      <w:r w:rsidR="00502106" w:rsidRPr="00575A7E">
        <w:rPr>
          <w:rFonts w:ascii="Calibri" w:eastAsia="Calibri" w:hAnsi="Calibri" w:cs="Times New Roman"/>
          <w:color w:val="595959" w:themeColor="text1" w:themeTint="A6"/>
        </w:rPr>
        <w:t xml:space="preserve"> 2020)</w:t>
      </w:r>
      <w:r w:rsidR="00C34765" w:rsidRPr="00575A7E">
        <w:rPr>
          <w:rFonts w:ascii="Calibri" w:eastAsia="Calibri" w:hAnsi="Calibri" w:cs="Times New Roman"/>
          <w:color w:val="595959" w:themeColor="text1" w:themeTint="A6"/>
        </w:rPr>
        <w:t xml:space="preserve">, </w:t>
      </w:r>
      <w:r w:rsidR="00183F3B" w:rsidRPr="00575A7E">
        <w:rPr>
          <w:rFonts w:ascii="Calibri" w:eastAsia="Calibri" w:hAnsi="Calibri" w:cs="Times New Roman"/>
          <w:color w:val="595959" w:themeColor="text1" w:themeTint="A6"/>
        </w:rPr>
        <w:t>π</w:t>
      </w:r>
      <w:r w:rsidR="009E1D04" w:rsidRPr="00575A7E">
        <w:rPr>
          <w:rFonts w:ascii="Calibri" w:eastAsia="Calibri" w:hAnsi="Calibri" w:cs="Times New Roman"/>
          <w:color w:val="595959" w:themeColor="text1" w:themeTint="A6"/>
        </w:rPr>
        <w:t xml:space="preserve">αρά την υποχώρηση του αποθέματος των μη εξυπηρετούμενων δανείων (ΜΕΔ), ο λόγος </w:t>
      </w:r>
      <w:r w:rsidR="005B572B">
        <w:rPr>
          <w:rFonts w:ascii="Calibri" w:eastAsia="Calibri" w:hAnsi="Calibri" w:cs="Times New Roman"/>
          <w:color w:val="595959" w:themeColor="text1" w:themeTint="A6"/>
        </w:rPr>
        <w:t>τους</w:t>
      </w:r>
      <w:r w:rsidR="009E1D04" w:rsidRPr="00575A7E">
        <w:rPr>
          <w:rFonts w:ascii="Calibri" w:eastAsia="Calibri" w:hAnsi="Calibri" w:cs="Times New Roman"/>
          <w:color w:val="595959" w:themeColor="text1" w:themeTint="A6"/>
        </w:rPr>
        <w:t xml:space="preserve"> προς το σύνολο των δανείων παραμένει υψηλός και αναμένεται να αυξηθεί περαιτέρω εξαιτίας της πανδημίας</w:t>
      </w:r>
      <w:r w:rsidR="005B572B">
        <w:rPr>
          <w:rFonts w:ascii="Calibri" w:eastAsia="Calibri" w:hAnsi="Calibri" w:cs="Times New Roman"/>
          <w:color w:val="595959" w:themeColor="text1" w:themeTint="A6"/>
        </w:rPr>
        <w:t xml:space="preserve">. </w:t>
      </w:r>
      <w:r w:rsidR="005B572B" w:rsidRPr="005B572B">
        <w:rPr>
          <w:rFonts w:ascii="Calibri" w:eastAsia="Calibri" w:hAnsi="Calibri" w:cs="Times New Roman"/>
          <w:color w:val="595959" w:themeColor="text1" w:themeTint="A6"/>
        </w:rPr>
        <w:t>Για την αντιμετώπιση του προβλήματος κατατέθηκε αίτημα της Ελληνικής Κυβέρνησης προς τη Γενική Διεύθυνση Ανταγωνισμού της Ευρωπαϊκής Επιτροπής για την παράταση του Προγράμματος «Ηρακλής»</w:t>
      </w:r>
      <w:r w:rsidR="005B572B">
        <w:rPr>
          <w:rFonts w:ascii="Calibri" w:eastAsia="Calibri" w:hAnsi="Calibri" w:cs="Times New Roman"/>
          <w:color w:val="595959" w:themeColor="text1" w:themeTint="A6"/>
        </w:rPr>
        <w:t>.</w:t>
      </w:r>
      <w:r w:rsidR="005B572B" w:rsidRPr="005B572B">
        <w:rPr>
          <w:rFonts w:ascii="Calibri" w:eastAsia="Calibri" w:hAnsi="Calibri" w:cs="Times New Roman"/>
          <w:color w:val="595959" w:themeColor="text1" w:themeTint="A6"/>
        </w:rPr>
        <w:t xml:space="preserve"> </w:t>
      </w:r>
    </w:p>
    <w:p w14:paraId="11C4A31A" w14:textId="77777777" w:rsidR="00DB1FA8" w:rsidRPr="00575A7E" w:rsidRDefault="00DB1FA8" w:rsidP="003B1BE9">
      <w:pPr>
        <w:spacing w:after="0" w:line="276" w:lineRule="auto"/>
        <w:jc w:val="both"/>
        <w:rPr>
          <w:rFonts w:ascii="Calibri" w:eastAsia="Calibri" w:hAnsi="Calibri" w:cs="Times New Roman"/>
          <w:color w:val="595959" w:themeColor="text1" w:themeTint="A6"/>
        </w:rPr>
      </w:pPr>
    </w:p>
    <w:p w14:paraId="3FB1C9C7" w14:textId="535820DD" w:rsidR="009C09AF" w:rsidRPr="00575A7E" w:rsidRDefault="00D960BC" w:rsidP="00D960BC">
      <w:pPr>
        <w:pStyle w:val="ae"/>
        <w:jc w:val="center"/>
      </w:pPr>
      <w:bookmarkStart w:id="160" w:name="_Toc67396703"/>
      <w:r>
        <w:t xml:space="preserve">Διάγραμμα </w:t>
      </w:r>
      <w:r w:rsidR="0096217C">
        <w:rPr>
          <w:noProof/>
        </w:rPr>
        <w:fldChar w:fldCharType="begin"/>
      </w:r>
      <w:r w:rsidR="0096217C">
        <w:rPr>
          <w:noProof/>
        </w:rPr>
        <w:instrText xml:space="preserve"> SEQ Διάγραμμα \* ARABIC </w:instrText>
      </w:r>
      <w:r w:rsidR="0096217C">
        <w:rPr>
          <w:noProof/>
        </w:rPr>
        <w:fldChar w:fldCharType="separate"/>
      </w:r>
      <w:r w:rsidR="00AE505C">
        <w:rPr>
          <w:noProof/>
        </w:rPr>
        <w:t>13</w:t>
      </w:r>
      <w:r w:rsidR="0096217C">
        <w:rPr>
          <w:noProof/>
        </w:rPr>
        <w:fldChar w:fldCharType="end"/>
      </w:r>
      <w:r w:rsidR="009C09AF" w:rsidRPr="00575A7E">
        <w:t xml:space="preserve"> Εξέλιξη μη εξυπηρετούμενων δανείων, σε δις ευρώ</w:t>
      </w:r>
      <w:bookmarkEnd w:id="160"/>
    </w:p>
    <w:p w14:paraId="2296AD03" w14:textId="77777777" w:rsidR="000C3858" w:rsidRPr="00575A7E" w:rsidRDefault="000C3858" w:rsidP="003B1BE9">
      <w:pPr>
        <w:spacing w:after="0" w:line="276" w:lineRule="auto"/>
        <w:jc w:val="center"/>
        <w:rPr>
          <w:rFonts w:ascii="Calibri" w:eastAsia="Calibri" w:hAnsi="Calibri" w:cs="Times New Roman"/>
          <w:noProof/>
          <w:color w:val="595959"/>
          <w:lang w:eastAsia="el-GR"/>
        </w:rPr>
      </w:pPr>
    </w:p>
    <w:p w14:paraId="09781E24" w14:textId="77777777" w:rsidR="002504B9" w:rsidRPr="00DD1444" w:rsidRDefault="00CE5032" w:rsidP="003B1BE9">
      <w:pPr>
        <w:spacing w:after="0" w:line="276" w:lineRule="auto"/>
        <w:jc w:val="center"/>
        <w:rPr>
          <w:rFonts w:ascii="Calibri" w:eastAsia="Calibri" w:hAnsi="Calibri" w:cs="Times New Roman"/>
          <w:noProof/>
          <w:color w:val="595959"/>
          <w:lang w:eastAsia="el-GR"/>
        </w:rPr>
      </w:pPr>
      <w:r>
        <w:rPr>
          <w:noProof/>
          <w:lang w:eastAsia="el-GR"/>
        </w:rPr>
        <w:drawing>
          <wp:inline distT="0" distB="0" distL="0" distR="0" wp14:anchorId="316EBA11" wp14:editId="7FE4F17E">
            <wp:extent cx="5274310" cy="2268855"/>
            <wp:effectExtent l="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2268855"/>
                    </a:xfrm>
                    <a:prstGeom prst="rect">
                      <a:avLst/>
                    </a:prstGeom>
                    <a:noFill/>
                    <a:ln>
                      <a:noFill/>
                    </a:ln>
                  </pic:spPr>
                </pic:pic>
              </a:graphicData>
            </a:graphic>
          </wp:inline>
        </w:drawing>
      </w:r>
      <w:r w:rsidRPr="00DD1444" w:rsidDel="00CA7101">
        <w:rPr>
          <w:noProof/>
        </w:rPr>
        <w:t xml:space="preserve"> </w:t>
      </w:r>
    </w:p>
    <w:p w14:paraId="6028FA95" w14:textId="77777777" w:rsidR="00AC3169" w:rsidRPr="00575A7E" w:rsidRDefault="00AC3169" w:rsidP="003B1BE9">
      <w:pPr>
        <w:spacing w:after="0" w:line="276" w:lineRule="auto"/>
        <w:jc w:val="center"/>
        <w:rPr>
          <w:rFonts w:ascii="Calibri" w:eastAsia="Calibri" w:hAnsi="Calibri" w:cs="Times New Roman"/>
          <w:noProof/>
          <w:color w:val="595959"/>
          <w:lang w:eastAsia="el-GR"/>
        </w:rPr>
      </w:pPr>
    </w:p>
    <w:p w14:paraId="1F22061D" w14:textId="77777777" w:rsidR="00BC73D7" w:rsidRDefault="00BC73D7">
      <w:pPr>
        <w:rPr>
          <w:rFonts w:asciiTheme="majorHAnsi" w:eastAsia="Times New Roman" w:hAnsiTheme="majorHAnsi" w:cstheme="majorBidi"/>
          <w:b/>
          <w:bCs/>
          <w:color w:val="4472C4" w:themeColor="accent1"/>
          <w:sz w:val="26"/>
          <w:szCs w:val="26"/>
        </w:rPr>
      </w:pPr>
      <w:r>
        <w:rPr>
          <w:rFonts w:eastAsia="Times New Roman"/>
        </w:rPr>
        <w:br w:type="page"/>
      </w:r>
    </w:p>
    <w:p w14:paraId="77515428" w14:textId="77777777" w:rsidR="00AC3169" w:rsidRPr="00575A7E" w:rsidRDefault="00AC3169" w:rsidP="003B1BE9">
      <w:pPr>
        <w:pStyle w:val="2"/>
        <w:spacing w:before="0" w:line="276" w:lineRule="auto"/>
        <w:jc w:val="both"/>
        <w:rPr>
          <w:rFonts w:eastAsia="Times New Roman"/>
        </w:rPr>
      </w:pPr>
      <w:bookmarkStart w:id="161" w:name="_Toc67401929"/>
      <w:r w:rsidRPr="00575A7E">
        <w:rPr>
          <w:rFonts w:eastAsia="Times New Roman"/>
        </w:rPr>
        <w:lastRenderedPageBreak/>
        <w:t>3.</w:t>
      </w:r>
      <w:r w:rsidR="005819E6" w:rsidRPr="00575A7E">
        <w:rPr>
          <w:rFonts w:eastAsia="Times New Roman"/>
        </w:rPr>
        <w:t>5</w:t>
      </w:r>
      <w:r w:rsidRPr="00575A7E">
        <w:rPr>
          <w:rFonts w:eastAsia="Times New Roman"/>
        </w:rPr>
        <w:t>. Αποκρατικοποιήσεις</w:t>
      </w:r>
      <w:bookmarkEnd w:id="161"/>
      <w:r w:rsidRPr="00575A7E">
        <w:rPr>
          <w:rFonts w:eastAsia="Times New Roman"/>
        </w:rPr>
        <w:t xml:space="preserve"> </w:t>
      </w:r>
    </w:p>
    <w:p w14:paraId="061689A1" w14:textId="77777777" w:rsidR="00CD5158" w:rsidRPr="00575A7E" w:rsidRDefault="00CD5158" w:rsidP="003B1BE9">
      <w:pPr>
        <w:spacing w:after="0" w:line="276" w:lineRule="auto"/>
        <w:jc w:val="both"/>
        <w:rPr>
          <w:rFonts w:ascii="Calibri" w:eastAsia="Calibri" w:hAnsi="Calibri" w:cs="Times New Roman"/>
        </w:rPr>
      </w:pPr>
    </w:p>
    <w:p w14:paraId="139AEC4C" w14:textId="63354359" w:rsidR="00AC3169" w:rsidRPr="00575A7E" w:rsidRDefault="00A57564" w:rsidP="003B1BE9">
      <w:pPr>
        <w:autoSpaceDE w:val="0"/>
        <w:autoSpaceDN w:val="0"/>
        <w:adjustRightInd w:val="0"/>
        <w:spacing w:line="276" w:lineRule="auto"/>
        <w:jc w:val="both"/>
        <w:rPr>
          <w:rFonts w:ascii="Calibri" w:eastAsia="Calibri" w:hAnsi="Calibri" w:cs="Times New Roman"/>
          <w:color w:val="595959" w:themeColor="text1" w:themeTint="A6"/>
        </w:rPr>
      </w:pPr>
      <w:r>
        <w:rPr>
          <w:rFonts w:ascii="Calibri" w:eastAsia="Calibri" w:hAnsi="Calibri" w:cs="Times New Roman"/>
          <w:color w:val="595959" w:themeColor="text1" w:themeTint="A6"/>
        </w:rPr>
        <w:t>Τ</w:t>
      </w:r>
      <w:r w:rsidR="00AC3169" w:rsidRPr="00575A7E">
        <w:rPr>
          <w:rFonts w:ascii="Calibri" w:eastAsia="Calibri" w:hAnsi="Calibri" w:cs="Times New Roman"/>
          <w:color w:val="595959" w:themeColor="text1" w:themeTint="A6"/>
        </w:rPr>
        <w:t xml:space="preserve">ο πρόγραμμα αποκρατικοποιήσεων του ΤΑΙΠΕΔ </w:t>
      </w:r>
      <w:r w:rsidR="00D43847" w:rsidRPr="00575A7E">
        <w:rPr>
          <w:rFonts w:ascii="Calibri" w:eastAsia="Calibri" w:hAnsi="Calibri" w:cs="Times New Roman"/>
          <w:color w:val="595959" w:themeColor="text1" w:themeTint="A6"/>
        </w:rPr>
        <w:t>επηρε</w:t>
      </w:r>
      <w:r w:rsidR="00506FE5" w:rsidRPr="00575A7E">
        <w:rPr>
          <w:rFonts w:ascii="Calibri" w:eastAsia="Calibri" w:hAnsi="Calibri" w:cs="Times New Roman"/>
          <w:color w:val="595959" w:themeColor="text1" w:themeTint="A6"/>
        </w:rPr>
        <w:t>άζεται</w:t>
      </w:r>
      <w:r w:rsidR="00AC3169" w:rsidRPr="00575A7E">
        <w:rPr>
          <w:rFonts w:ascii="Calibri" w:eastAsia="Calibri" w:hAnsi="Calibri" w:cs="Times New Roman"/>
          <w:color w:val="595959" w:themeColor="text1" w:themeTint="A6"/>
        </w:rPr>
        <w:t xml:space="preserve"> (με την προσωρινή αναστολή ορισμένων αποκρατικοποιήσεων) </w:t>
      </w:r>
      <w:r w:rsidR="00D43847" w:rsidRPr="00575A7E">
        <w:rPr>
          <w:rFonts w:ascii="Calibri" w:eastAsia="Calibri" w:hAnsi="Calibri" w:cs="Times New Roman"/>
          <w:color w:val="595959" w:themeColor="text1" w:themeTint="A6"/>
        </w:rPr>
        <w:t>από τις</w:t>
      </w:r>
      <w:r w:rsidR="00AC3169" w:rsidRPr="00575A7E">
        <w:rPr>
          <w:rFonts w:ascii="Calibri" w:eastAsia="Calibri" w:hAnsi="Calibri" w:cs="Times New Roman"/>
          <w:color w:val="595959" w:themeColor="text1" w:themeTint="A6"/>
        </w:rPr>
        <w:t xml:space="preserve"> δυσμεν</w:t>
      </w:r>
      <w:r w:rsidR="00D43847" w:rsidRPr="00575A7E">
        <w:rPr>
          <w:rFonts w:ascii="Calibri" w:eastAsia="Calibri" w:hAnsi="Calibri" w:cs="Times New Roman"/>
          <w:color w:val="595959" w:themeColor="text1" w:themeTint="A6"/>
        </w:rPr>
        <w:t>είς</w:t>
      </w:r>
      <w:r w:rsidR="00AC3169" w:rsidRPr="00575A7E">
        <w:rPr>
          <w:rFonts w:ascii="Calibri" w:eastAsia="Calibri" w:hAnsi="Calibri" w:cs="Times New Roman"/>
          <w:color w:val="595959" w:themeColor="text1" w:themeTint="A6"/>
        </w:rPr>
        <w:t xml:space="preserve"> </w:t>
      </w:r>
      <w:r w:rsidR="00DA78B6" w:rsidRPr="00575A7E">
        <w:rPr>
          <w:rFonts w:ascii="Calibri" w:eastAsia="Calibri" w:hAnsi="Calibri" w:cs="Times New Roman"/>
          <w:color w:val="595959" w:themeColor="text1" w:themeTint="A6"/>
        </w:rPr>
        <w:t>επιπτώσεις</w:t>
      </w:r>
      <w:r w:rsidR="00AC3169" w:rsidRPr="00575A7E">
        <w:rPr>
          <w:rFonts w:ascii="Calibri" w:eastAsia="Calibri" w:hAnsi="Calibri" w:cs="Times New Roman"/>
          <w:color w:val="595959" w:themeColor="text1" w:themeTint="A6"/>
        </w:rPr>
        <w:t xml:space="preserve"> που επ</w:t>
      </w:r>
      <w:r w:rsidR="00506FE5" w:rsidRPr="00575A7E">
        <w:rPr>
          <w:rFonts w:ascii="Calibri" w:eastAsia="Calibri" w:hAnsi="Calibri" w:cs="Times New Roman"/>
          <w:color w:val="595959" w:themeColor="text1" w:themeTint="A6"/>
        </w:rPr>
        <w:t>ιφέρει</w:t>
      </w:r>
      <w:r w:rsidR="00AC3169" w:rsidRPr="00575A7E">
        <w:rPr>
          <w:rFonts w:ascii="Calibri" w:eastAsia="Calibri" w:hAnsi="Calibri" w:cs="Times New Roman"/>
          <w:color w:val="595959" w:themeColor="text1" w:themeTint="A6"/>
        </w:rPr>
        <w:t xml:space="preserve"> στην</w:t>
      </w:r>
      <w:r w:rsidR="00DA78B6" w:rsidRPr="00575A7E">
        <w:rPr>
          <w:rFonts w:ascii="Calibri" w:eastAsia="Calibri" w:hAnsi="Calibri" w:cs="Times New Roman"/>
          <w:color w:val="595959" w:themeColor="text1" w:themeTint="A6"/>
        </w:rPr>
        <w:t xml:space="preserve"> παγκόσμια και</w:t>
      </w:r>
      <w:r w:rsidR="00AC3169" w:rsidRPr="00575A7E">
        <w:rPr>
          <w:rFonts w:ascii="Calibri" w:eastAsia="Calibri" w:hAnsi="Calibri" w:cs="Times New Roman"/>
          <w:color w:val="595959" w:themeColor="text1" w:themeTint="A6"/>
        </w:rPr>
        <w:t xml:space="preserve"> εγχώρια</w:t>
      </w:r>
      <w:r w:rsidR="00DA78B6" w:rsidRPr="00575A7E">
        <w:rPr>
          <w:rFonts w:ascii="Calibri" w:eastAsia="Calibri" w:hAnsi="Calibri" w:cs="Times New Roman"/>
          <w:color w:val="595959" w:themeColor="text1" w:themeTint="A6"/>
        </w:rPr>
        <w:t xml:space="preserve"> </w:t>
      </w:r>
      <w:r w:rsidR="00AC3169" w:rsidRPr="00575A7E">
        <w:rPr>
          <w:rFonts w:ascii="Calibri" w:eastAsia="Calibri" w:hAnsi="Calibri" w:cs="Times New Roman"/>
          <w:color w:val="595959" w:themeColor="text1" w:themeTint="A6"/>
        </w:rPr>
        <w:t xml:space="preserve">οικονομία η πανδημία του </w:t>
      </w:r>
      <w:proofErr w:type="spellStart"/>
      <w:r w:rsidR="00AC3169" w:rsidRPr="00575A7E">
        <w:rPr>
          <w:rFonts w:ascii="Calibri" w:eastAsia="Calibri" w:hAnsi="Calibri" w:cs="Times New Roman"/>
          <w:color w:val="595959" w:themeColor="text1" w:themeTint="A6"/>
        </w:rPr>
        <w:t>κορωνοϊού</w:t>
      </w:r>
      <w:proofErr w:type="spellEnd"/>
      <w:r w:rsidR="00AC3169" w:rsidRPr="00575A7E">
        <w:rPr>
          <w:rFonts w:ascii="Calibri" w:eastAsia="Calibri" w:hAnsi="Calibri" w:cs="Times New Roman"/>
          <w:color w:val="595959" w:themeColor="text1" w:themeTint="A6"/>
        </w:rPr>
        <w:t xml:space="preserve"> COVID-19. </w:t>
      </w:r>
      <w:r w:rsidR="007F22AF">
        <w:rPr>
          <w:rFonts w:ascii="Calibri" w:eastAsia="Calibri" w:hAnsi="Calibri" w:cs="Times New Roman"/>
          <w:color w:val="595959" w:themeColor="text1" w:themeTint="A6"/>
        </w:rPr>
        <w:t xml:space="preserve">Κατά συνέπεια, </w:t>
      </w:r>
      <w:r w:rsidR="00AC3169" w:rsidRPr="00575A7E">
        <w:rPr>
          <w:rFonts w:ascii="Calibri" w:eastAsia="Calibri" w:hAnsi="Calibri" w:cs="Times New Roman"/>
          <w:color w:val="595959" w:themeColor="text1" w:themeTint="A6"/>
        </w:rPr>
        <w:t>σύμφωνα με τις επίσημες ανακοινώνεις του Ταμείου τον Δεκέμβριο του 2020 υπήρξε</w:t>
      </w:r>
      <w:r w:rsidR="007F22AF">
        <w:rPr>
          <w:rFonts w:ascii="Calibri" w:eastAsia="Calibri" w:hAnsi="Calibri" w:cs="Times New Roman"/>
          <w:color w:val="595959" w:themeColor="text1" w:themeTint="A6"/>
        </w:rPr>
        <w:t xml:space="preserve"> μόνο</w:t>
      </w:r>
      <w:r w:rsidR="00AC3169" w:rsidRPr="00575A7E">
        <w:rPr>
          <w:rFonts w:ascii="Calibri" w:eastAsia="Calibri" w:hAnsi="Calibri" w:cs="Times New Roman"/>
          <w:color w:val="595959" w:themeColor="text1" w:themeTint="A6"/>
        </w:rPr>
        <w:t xml:space="preserve"> η ακόλουθη εξέλιξη: </w:t>
      </w:r>
    </w:p>
    <w:p w14:paraId="3967E5D1" w14:textId="77777777" w:rsidR="00AC3169" w:rsidRPr="00575A7E" w:rsidRDefault="00AE505C" w:rsidP="003B1BE9">
      <w:pPr>
        <w:pStyle w:val="a3"/>
        <w:numPr>
          <w:ilvl w:val="0"/>
          <w:numId w:val="11"/>
        </w:numPr>
        <w:autoSpaceDE w:val="0"/>
        <w:autoSpaceDN w:val="0"/>
        <w:adjustRightInd w:val="0"/>
        <w:spacing w:after="0" w:line="276" w:lineRule="auto"/>
        <w:jc w:val="both"/>
        <w:rPr>
          <w:rFonts w:ascii="Calibri" w:eastAsia="Calibri" w:hAnsi="Calibri" w:cs="Times New Roman"/>
          <w:color w:val="595959" w:themeColor="text1" w:themeTint="A6"/>
        </w:rPr>
      </w:pPr>
      <w:hyperlink r:id="rId94" w:history="1">
        <w:r w:rsidR="00D5778F" w:rsidRPr="00575A7E">
          <w:rPr>
            <w:color w:val="595959" w:themeColor="text1" w:themeTint="A6"/>
            <w:u w:val="single"/>
          </w:rPr>
          <w:t>Ολοκληρώθηκε</w:t>
        </w:r>
      </w:hyperlink>
      <w:r w:rsidR="00D5778F" w:rsidRPr="00575A7E">
        <w:rPr>
          <w:rFonts w:ascii="Calibri" w:eastAsia="Calibri" w:hAnsi="Calibri" w:cs="Times New Roman"/>
          <w:color w:val="595959" w:themeColor="text1" w:themeTint="A6"/>
        </w:rPr>
        <w:t xml:space="preserve"> η παραχώρηση το</w:t>
      </w:r>
      <w:r w:rsidR="00F73F4E" w:rsidRPr="00575A7E">
        <w:rPr>
          <w:rFonts w:ascii="Calibri" w:eastAsia="Calibri" w:hAnsi="Calibri" w:cs="Times New Roman"/>
          <w:color w:val="595959" w:themeColor="text1" w:themeTint="A6"/>
        </w:rPr>
        <w:t>υ</w:t>
      </w:r>
      <w:r w:rsidR="00D5778F" w:rsidRPr="00575A7E">
        <w:rPr>
          <w:rFonts w:ascii="Calibri" w:eastAsia="Calibri" w:hAnsi="Calibri" w:cs="Times New Roman"/>
          <w:color w:val="595959" w:themeColor="text1" w:themeTint="A6"/>
        </w:rPr>
        <w:t xml:space="preserve"> δικα</w:t>
      </w:r>
      <w:r w:rsidR="00935119">
        <w:rPr>
          <w:rFonts w:ascii="Calibri" w:eastAsia="Calibri" w:hAnsi="Calibri" w:cs="Times New Roman"/>
          <w:color w:val="595959" w:themeColor="text1" w:themeTint="A6"/>
        </w:rPr>
        <w:t>ιώματος</w:t>
      </w:r>
      <w:r w:rsidR="00D5778F" w:rsidRPr="00575A7E">
        <w:rPr>
          <w:rFonts w:ascii="Calibri" w:eastAsia="Calibri" w:hAnsi="Calibri" w:cs="Times New Roman"/>
          <w:color w:val="595959" w:themeColor="text1" w:themeTint="A6"/>
        </w:rPr>
        <w:t xml:space="preserve"> χρήσης και εκμετάλλευσης της μαρίνας Αλίμου για 40 χρόνια στην εταιρεία «Ανάπτυξη Νέας Μαρίνας Αλίμου Α.Ε.», θυγατρική της «Άκτωρ Παραχωρήσεις», </w:t>
      </w:r>
      <w:r w:rsidR="00F73F4E" w:rsidRPr="00575A7E">
        <w:rPr>
          <w:rFonts w:ascii="Calibri" w:eastAsia="Calibri" w:hAnsi="Calibri" w:cs="Times New Roman"/>
          <w:color w:val="595959" w:themeColor="text1" w:themeTint="A6"/>
        </w:rPr>
        <w:t>έναντι</w:t>
      </w:r>
      <w:r w:rsidR="00D5778F" w:rsidRPr="00575A7E">
        <w:rPr>
          <w:rFonts w:ascii="Calibri" w:eastAsia="Calibri" w:hAnsi="Calibri" w:cs="Times New Roman"/>
          <w:color w:val="595959" w:themeColor="text1" w:themeTint="A6"/>
        </w:rPr>
        <w:t xml:space="preserve"> εφάπαξ αμοιβή</w:t>
      </w:r>
      <w:r w:rsidR="00F73F4E" w:rsidRPr="00575A7E">
        <w:rPr>
          <w:rFonts w:ascii="Calibri" w:eastAsia="Calibri" w:hAnsi="Calibri" w:cs="Times New Roman"/>
          <w:color w:val="595959" w:themeColor="text1" w:themeTint="A6"/>
        </w:rPr>
        <w:t>ς</w:t>
      </w:r>
      <w:r w:rsidR="00D5778F" w:rsidRPr="00575A7E">
        <w:rPr>
          <w:rFonts w:ascii="Calibri" w:eastAsia="Calibri" w:hAnsi="Calibri" w:cs="Times New Roman"/>
          <w:color w:val="595959" w:themeColor="text1" w:themeTint="A6"/>
        </w:rPr>
        <w:t xml:space="preserve"> παραχώρησης 27,3 εκατ. ευρώ.</w:t>
      </w:r>
      <w:r w:rsidR="007B6E4A" w:rsidRPr="00575A7E">
        <w:t xml:space="preserve"> </w:t>
      </w:r>
      <w:r w:rsidR="007B6E4A" w:rsidRPr="00575A7E">
        <w:rPr>
          <w:rFonts w:ascii="Calibri" w:eastAsia="Calibri" w:hAnsi="Calibri" w:cs="Times New Roman"/>
          <w:color w:val="595959" w:themeColor="text1" w:themeTint="A6"/>
        </w:rPr>
        <w:t xml:space="preserve">Η εταιρεία «Ανάπτυξη Νέας Μαρίνας Αλίμου Α.Ε.» θα εκσυγχρονίσει τη μαρίνα και </w:t>
      </w:r>
      <w:r w:rsidR="00935119">
        <w:rPr>
          <w:rFonts w:ascii="Calibri" w:eastAsia="Calibri" w:hAnsi="Calibri" w:cs="Times New Roman"/>
          <w:color w:val="595959" w:themeColor="text1" w:themeTint="A6"/>
        </w:rPr>
        <w:t>θα</w:t>
      </w:r>
      <w:r w:rsidR="00935119" w:rsidRPr="00575A7E">
        <w:rPr>
          <w:rFonts w:ascii="Calibri" w:eastAsia="Calibri" w:hAnsi="Calibri" w:cs="Times New Roman"/>
          <w:color w:val="595959" w:themeColor="text1" w:themeTint="A6"/>
        </w:rPr>
        <w:t xml:space="preserve"> </w:t>
      </w:r>
      <w:r w:rsidR="007B6E4A" w:rsidRPr="00575A7E">
        <w:rPr>
          <w:rFonts w:ascii="Calibri" w:eastAsia="Calibri" w:hAnsi="Calibri" w:cs="Times New Roman"/>
          <w:color w:val="595959" w:themeColor="text1" w:themeTint="A6"/>
        </w:rPr>
        <w:t>την αναδείξει σε έναν κορυφαίου επιπέδου τουριστικό λιμένα υλοποιώντας εντός της επόμενης πενταετίας ένα επενδυτικό πρόγραμμα που θα ξεπεράσει τα 50 εκατ. ευρώ. Τα έργα ανάπτυξης, πέραν της ριζικής αναβάθμισης των υφιστάμενων λιμενικών υποδομών και της δραστηριότητας απόθεσης/συντήρησης σκαφών, θα αφορούν, επιπλέον, στην αναγέννηση της χερσαίας ζώνης της μαρίνας, μέσω της δόμησης 18.520 τ.μ. κτιριακών εγκαταστάσεων και τη διαμόρφωση ενός περιβάλλοντος χώρου υψηλής αισθητικής</w:t>
      </w:r>
      <w:r w:rsidR="008D2BBF" w:rsidRPr="00575A7E">
        <w:rPr>
          <w:rFonts w:ascii="Calibri" w:eastAsia="Calibri" w:hAnsi="Calibri" w:cs="Times New Roman"/>
          <w:color w:val="595959" w:themeColor="text1" w:themeTint="A6"/>
        </w:rPr>
        <w:t xml:space="preserve">. Στόχος είναι η δημιουργία ενός πόλου τουρισμού και αναψυχής που θα περιλαμβάνει ζώνες πρασίνου και περιπάτου, χώρους εστίασης, καταστήματα, ξενοδοχειακές εγκαταστάσεις, γραφεία, παιδότοπο, χώρους υπαίθριων εκδηλώσεων κλπ. Με την προβλεπόμενη αναβάθμιση της μαρίνας Αλίμου αναμένεται να αναπτυχθεί περαιτέρω η συγκεκριμένη περιοχή του παραλιακού μετώπου της Αττικής, συνεισφέροντας στην ανάδειξη της Αθηναϊκής Ριβιέρας από το Φάληρο μέχρι και το Ναό του </w:t>
      </w:r>
      <w:proofErr w:type="spellStart"/>
      <w:r w:rsidR="008D2BBF" w:rsidRPr="00575A7E">
        <w:rPr>
          <w:rFonts w:ascii="Calibri" w:eastAsia="Calibri" w:hAnsi="Calibri" w:cs="Times New Roman"/>
          <w:color w:val="595959" w:themeColor="text1" w:themeTint="A6"/>
        </w:rPr>
        <w:t>Ποσειδώνα</w:t>
      </w:r>
      <w:proofErr w:type="spellEnd"/>
      <w:r w:rsidR="008D2BBF" w:rsidRPr="00575A7E">
        <w:rPr>
          <w:rFonts w:ascii="Calibri" w:eastAsia="Calibri" w:hAnsi="Calibri" w:cs="Times New Roman"/>
          <w:color w:val="595959" w:themeColor="text1" w:themeTint="A6"/>
        </w:rPr>
        <w:t xml:space="preserve"> στο Σούνιο.</w:t>
      </w:r>
    </w:p>
    <w:p w14:paraId="61E86455" w14:textId="77777777" w:rsidR="00AC3169" w:rsidRPr="00D53EA9" w:rsidRDefault="00AC3169" w:rsidP="003B1BE9">
      <w:pPr>
        <w:spacing w:after="0" w:line="276" w:lineRule="auto"/>
        <w:rPr>
          <w:rFonts w:ascii="Calibri" w:eastAsia="Calibri" w:hAnsi="Calibri" w:cs="Times New Roman"/>
          <w:noProof/>
          <w:color w:val="595959"/>
          <w:lang w:eastAsia="el-GR"/>
        </w:rPr>
      </w:pPr>
    </w:p>
    <w:sectPr w:rsidR="00AC3169" w:rsidRPr="00D53EA9" w:rsidSect="005B0509">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A137F" w14:textId="77777777" w:rsidR="00AE505C" w:rsidRDefault="00AE505C" w:rsidP="001C5EA7">
      <w:pPr>
        <w:spacing w:after="0" w:line="240" w:lineRule="auto"/>
      </w:pPr>
      <w:r>
        <w:separator/>
      </w:r>
    </w:p>
  </w:endnote>
  <w:endnote w:type="continuationSeparator" w:id="0">
    <w:p w14:paraId="30A8EC5B" w14:textId="77777777" w:rsidR="00AE505C" w:rsidRDefault="00AE505C" w:rsidP="001C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D3E1" w14:textId="77777777" w:rsidR="00AE505C" w:rsidRPr="005A1528" w:rsidRDefault="00AE505C">
    <w:pPr>
      <w:pStyle w:val="FooterEven"/>
      <w:rPr>
        <w:color w:val="2F5496" w:themeColor="accent1" w:themeShade="BF"/>
        <w:sz w:val="24"/>
        <w:szCs w:val="24"/>
        <w:lang w:val="el-GR"/>
      </w:rPr>
    </w:pPr>
    <w:r w:rsidRPr="005A1528">
      <w:rPr>
        <w:rFonts w:eastAsiaTheme="majorEastAsia" w:cstheme="majorBidi"/>
        <w:color w:val="2F5496" w:themeColor="accent1" w:themeShade="BF"/>
        <w:sz w:val="24"/>
        <w:szCs w:val="24"/>
        <w:lang w:val="el-GR"/>
      </w:rPr>
      <w:t>Γραφείο Προϋπολογισμού του Κράτους στη Βουλή</w:t>
    </w:r>
    <w:r w:rsidRPr="005A1528">
      <w:rPr>
        <w:rFonts w:eastAsiaTheme="majorEastAsia" w:cstheme="majorBidi"/>
        <w:color w:val="2F5496" w:themeColor="accent1" w:themeShade="BF"/>
        <w:sz w:val="24"/>
        <w:szCs w:val="24"/>
        <w:lang w:val="el-GR"/>
      </w:rPr>
      <w:ptab w:relativeTo="margin" w:alignment="right" w:leader="none"/>
    </w:r>
    <w:r w:rsidRPr="005A1528">
      <w:rPr>
        <w:rFonts w:eastAsiaTheme="minorEastAsia" w:cstheme="minorBidi"/>
        <w:color w:val="2F5496" w:themeColor="accent1" w:themeShade="BF"/>
        <w:sz w:val="24"/>
        <w:szCs w:val="24"/>
        <w:lang w:val="el-GR"/>
      </w:rPr>
      <w:fldChar w:fldCharType="begin"/>
    </w:r>
    <w:r w:rsidRPr="005A1528">
      <w:rPr>
        <w:color w:val="2F5496" w:themeColor="accent1" w:themeShade="BF"/>
        <w:sz w:val="24"/>
        <w:szCs w:val="24"/>
        <w:lang w:val="el-GR"/>
      </w:rPr>
      <w:instrText>PAGE   \* MERGEFORMAT</w:instrText>
    </w:r>
    <w:r w:rsidRPr="005A1528">
      <w:rPr>
        <w:rFonts w:eastAsiaTheme="minorEastAsia" w:cstheme="minorBidi"/>
        <w:color w:val="2F5496" w:themeColor="accent1" w:themeShade="BF"/>
        <w:sz w:val="24"/>
        <w:szCs w:val="24"/>
        <w:lang w:val="el-GR"/>
      </w:rPr>
      <w:fldChar w:fldCharType="separate"/>
    </w:r>
    <w:r w:rsidRPr="008E0238">
      <w:rPr>
        <w:rFonts w:eastAsiaTheme="majorEastAsia" w:cstheme="majorBidi"/>
        <w:noProof/>
        <w:color w:val="2F5496" w:themeColor="accent1" w:themeShade="BF"/>
        <w:sz w:val="24"/>
        <w:szCs w:val="24"/>
        <w:lang w:val="el-GR"/>
      </w:rPr>
      <w:t>32</w:t>
    </w:r>
    <w:r w:rsidRPr="005A1528">
      <w:rPr>
        <w:rFonts w:eastAsiaTheme="majorEastAsia" w:cstheme="majorBidi"/>
        <w:color w:val="2F5496" w:themeColor="accent1" w:themeShade="BF"/>
        <w:sz w:val="24"/>
        <w:szCs w:val="24"/>
        <w:lang w:val="el-GR"/>
      </w:rPr>
      <w:fldChar w:fldCharType="end"/>
    </w:r>
    <w:r>
      <w:rPr>
        <w:noProof/>
        <w:color w:val="2F5496" w:themeColor="accent1" w:themeShade="BF"/>
        <w:sz w:val="24"/>
        <w:szCs w:val="24"/>
        <w:lang w:val="el-GR" w:eastAsia="el-GR"/>
      </w:rPr>
      <mc:AlternateContent>
        <mc:Choice Requires="wpg">
          <w:drawing>
            <wp:anchor distT="0" distB="0" distL="114300" distR="114300" simplePos="0" relativeHeight="251656192" behindDoc="0" locked="0" layoutInCell="0" allowOverlap="1" wp14:anchorId="54B115C2" wp14:editId="289CA764">
              <wp:simplePos x="0" y="0"/>
              <wp:positionH relativeFrom="page">
                <wp:align>center</wp:align>
              </wp:positionH>
              <wp:positionV relativeFrom="page">
                <wp:align>bottom</wp:align>
              </wp:positionV>
              <wp:extent cx="7757160" cy="822960"/>
              <wp:effectExtent l="0" t="0" r="0" b="0"/>
              <wp:wrapNone/>
              <wp:docPr id="441" name="Ομάδα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4B2118" id="Ομάδα 39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color w:val="2F5496" w:themeColor="accent1" w:themeShade="BF"/>
        <w:sz w:val="24"/>
        <w:szCs w:val="24"/>
        <w:lang w:val="el-GR" w:eastAsia="el-GR"/>
      </w:rPr>
      <mc:AlternateContent>
        <mc:Choice Requires="wps">
          <w:drawing>
            <wp:anchor distT="0" distB="0" distL="114300" distR="114300" simplePos="0" relativeHeight="251669504" behindDoc="0" locked="0" layoutInCell="1" allowOverlap="1" wp14:anchorId="1CCE8118" wp14:editId="393B406C">
              <wp:simplePos x="0" y="0"/>
              <wp:positionH relativeFrom="leftMargin">
                <wp:align>center</wp:align>
              </wp:positionH>
              <wp:positionV relativeFrom="page">
                <wp:align>bottom</wp:align>
              </wp:positionV>
              <wp:extent cx="90805" cy="822960"/>
              <wp:effectExtent l="0" t="0" r="4445" b="0"/>
              <wp:wrapNone/>
              <wp:docPr id="444" name="Ορθογώνιο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E32E19" id="Ορθογώνιο 393" o:spid="_x0000_s1026" style="position:absolute;margin-left:0;margin-top:0;width:7.15pt;height:64.8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" fillcolor="#5b9bd5 [3208]" strokecolor="#4472c4 [3204]">
              <w10:wrap anchorx="margin" anchory="page"/>
            </v:rect>
          </w:pict>
        </mc:Fallback>
      </mc:AlternateContent>
    </w:r>
    <w:r>
      <w:rPr>
        <w:noProof/>
        <w:color w:val="2F5496" w:themeColor="accent1" w:themeShade="BF"/>
        <w:sz w:val="24"/>
        <w:szCs w:val="24"/>
        <w:lang w:val="el-GR" w:eastAsia="el-GR"/>
      </w:rPr>
      <mc:AlternateContent>
        <mc:Choice Requires="wps">
          <w:drawing>
            <wp:anchor distT="0" distB="0" distL="114300" distR="114300" simplePos="0" relativeHeight="251665408" behindDoc="0" locked="0" layoutInCell="1" allowOverlap="1" wp14:anchorId="31234CBF" wp14:editId="3244093D">
              <wp:simplePos x="0" y="0"/>
              <wp:positionH relativeFrom="rightMargin">
                <wp:align>center</wp:align>
              </wp:positionH>
              <wp:positionV relativeFrom="page">
                <wp:align>bottom</wp:align>
              </wp:positionV>
              <wp:extent cx="91440" cy="822960"/>
              <wp:effectExtent l="0" t="0" r="3810" b="0"/>
              <wp:wrapNone/>
              <wp:docPr id="445" name="Ορθογώνιο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3FFF40" id="Ορθογώνιο 395" o:spid="_x0000_s1026" style="position:absolute;margin-left:0;margin-top:0;width:7.2pt;height:64.8pt;z-index:25166540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" fillcolor="#5b9bd5 [3208]" strokecolor="#4472c4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F5496" w:themeColor="accent1" w:themeShade="BF"/>
        <w:sz w:val="24"/>
        <w:szCs w:val="24"/>
      </w:rPr>
      <w:id w:val="-1101710716"/>
      <w:docPartObj>
        <w:docPartGallery w:val="Page Numbers (Bottom of Page)"/>
        <w:docPartUnique/>
      </w:docPartObj>
    </w:sdtPr>
    <w:sdtEndPr>
      <w:rPr>
        <w:noProof/>
      </w:rPr>
    </w:sdtEndPr>
    <w:sdtContent>
      <w:p w14:paraId="2536A620" w14:textId="77777777" w:rsidR="00AE505C" w:rsidRPr="00DB1594" w:rsidRDefault="00AE505C">
        <w:pPr>
          <w:pStyle w:val="a8"/>
          <w:jc w:val="center"/>
          <w:rPr>
            <w:color w:val="2F5496" w:themeColor="accent1" w:themeShade="BF"/>
            <w:sz w:val="24"/>
            <w:szCs w:val="24"/>
          </w:rPr>
        </w:pPr>
        <w:r>
          <w:rPr>
            <w:noProof/>
            <w:color w:val="2F5496" w:themeColor="accent1" w:themeShade="BF"/>
            <w:sz w:val="24"/>
            <w:szCs w:val="24"/>
            <w:lang w:eastAsia="el-GR"/>
          </w:rPr>
          <mc:AlternateContent>
            <mc:Choice Requires="wps">
              <w:drawing>
                <wp:inline distT="0" distB="0" distL="0" distR="0" wp14:anchorId="7723386E" wp14:editId="1D38DAE9">
                  <wp:extent cx="5467350" cy="54610"/>
                  <wp:effectExtent l="9525" t="12065" r="9525" b="952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09344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" fillcolor="#2f5496 [2404]" strokecolor="#2f5496 [2404]">
                  <w10:anchorlock/>
                </v:shape>
              </w:pict>
            </mc:Fallback>
          </mc:AlternateContent>
        </w:r>
      </w:p>
      <w:p w14:paraId="3C8FEA8C" w14:textId="77777777" w:rsidR="00AE505C" w:rsidRPr="00DB1594" w:rsidRDefault="00AE505C">
        <w:pPr>
          <w:pStyle w:val="a8"/>
          <w:jc w:val="center"/>
          <w:rPr>
            <w:color w:val="2F5496" w:themeColor="accent1" w:themeShade="BF"/>
            <w:sz w:val="24"/>
            <w:szCs w:val="24"/>
          </w:rPr>
        </w:pPr>
        <w:r w:rsidRPr="00DB1594">
          <w:rPr>
            <w:rFonts w:eastAsiaTheme="majorEastAsia" w:cstheme="majorBidi"/>
            <w:color w:val="2F5496" w:themeColor="accent1" w:themeShade="BF"/>
            <w:sz w:val="24"/>
            <w:szCs w:val="24"/>
          </w:rPr>
          <w:t>Γραφείο Προϋπολογισμού του Κράτους στη Βουλή</w:t>
        </w:r>
        <w:r w:rsidRPr="00DB1594">
          <w:rPr>
            <w:color w:val="2F5496" w:themeColor="accent1" w:themeShade="BF"/>
            <w:sz w:val="24"/>
            <w:szCs w:val="24"/>
          </w:rPr>
          <w:t xml:space="preserve"> </w:t>
        </w:r>
      </w:p>
      <w:p w14:paraId="7825DD4A" w14:textId="0B5FA37B" w:rsidR="00AE505C" w:rsidRPr="00DB1594" w:rsidRDefault="00AE505C" w:rsidP="00DB1594">
        <w:pPr>
          <w:pStyle w:val="a8"/>
          <w:jc w:val="center"/>
        </w:pPr>
        <w:r w:rsidRPr="00DB1594">
          <w:rPr>
            <w:color w:val="2F5496" w:themeColor="accent1" w:themeShade="BF"/>
            <w:sz w:val="24"/>
            <w:szCs w:val="24"/>
          </w:rPr>
          <w:fldChar w:fldCharType="begin"/>
        </w:r>
        <w:r w:rsidRPr="00DB1594">
          <w:rPr>
            <w:color w:val="2F5496" w:themeColor="accent1" w:themeShade="BF"/>
            <w:sz w:val="24"/>
            <w:szCs w:val="24"/>
          </w:rPr>
          <w:instrText xml:space="preserve"> PAGE    \* MERGEFORMAT </w:instrText>
        </w:r>
        <w:r w:rsidRPr="00DB1594">
          <w:rPr>
            <w:color w:val="2F5496" w:themeColor="accent1" w:themeShade="BF"/>
            <w:sz w:val="24"/>
            <w:szCs w:val="24"/>
          </w:rPr>
          <w:fldChar w:fldCharType="separate"/>
        </w:r>
        <w:r w:rsidR="006533F8">
          <w:rPr>
            <w:noProof/>
            <w:color w:val="2F5496" w:themeColor="accent1" w:themeShade="BF"/>
            <w:sz w:val="24"/>
            <w:szCs w:val="24"/>
          </w:rPr>
          <w:t>18</w:t>
        </w:r>
        <w:r w:rsidRPr="00DB1594">
          <w:rPr>
            <w:noProof/>
            <w:color w:val="2F5496" w:themeColor="accent1" w:themeShade="B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C8E2E" w14:textId="77777777" w:rsidR="00AE505C" w:rsidRDefault="00AE505C" w:rsidP="001C5EA7">
      <w:pPr>
        <w:spacing w:after="0" w:line="240" w:lineRule="auto"/>
      </w:pPr>
      <w:r>
        <w:separator/>
      </w:r>
    </w:p>
  </w:footnote>
  <w:footnote w:type="continuationSeparator" w:id="0">
    <w:p w14:paraId="23AE6F99" w14:textId="77777777" w:rsidR="00AE505C" w:rsidRDefault="00AE505C" w:rsidP="001C5EA7">
      <w:pPr>
        <w:spacing w:after="0" w:line="240" w:lineRule="auto"/>
      </w:pPr>
      <w:r>
        <w:continuationSeparator/>
      </w:r>
    </w:p>
  </w:footnote>
  <w:footnote w:id="1">
    <w:p w14:paraId="2932D55E" w14:textId="77777777" w:rsidR="00AE505C" w:rsidRPr="00974025" w:rsidRDefault="00AE505C" w:rsidP="008E2A0E">
      <w:pPr>
        <w:pStyle w:val="a4"/>
        <w:spacing w:line="276" w:lineRule="auto"/>
        <w:rPr>
          <w:color w:val="595959" w:themeColor="text1" w:themeTint="A6"/>
        </w:rPr>
      </w:pPr>
      <w:r w:rsidRPr="00032FA8">
        <w:rPr>
          <w:rStyle w:val="a5"/>
          <w:color w:val="595959" w:themeColor="text1" w:themeTint="A6"/>
        </w:rPr>
        <w:footnoteRef/>
      </w:r>
      <w:r w:rsidRPr="00974025">
        <w:rPr>
          <w:color w:val="595959" w:themeColor="text1" w:themeTint="A6"/>
        </w:rPr>
        <w:t xml:space="preserve"> </w:t>
      </w:r>
      <w:r>
        <w:rPr>
          <w:color w:val="595959" w:themeColor="text1" w:themeTint="A6"/>
        </w:rPr>
        <w:tab/>
      </w:r>
      <w:r w:rsidRPr="00974025">
        <w:rPr>
          <w:color w:val="595959" w:themeColor="text1" w:themeTint="A6"/>
        </w:rPr>
        <w:t>Περιλαμβάνει τους τομείς Β έως Σ της Στατιστικής Ταξινόμησης των Οικονομικών Δραστηριοτήτων ΣΤΑΚΟΔ 08/</w:t>
      </w:r>
      <w:r w:rsidRPr="00032FA8">
        <w:rPr>
          <w:color w:val="595959" w:themeColor="text1" w:themeTint="A6"/>
        </w:rPr>
        <w:t>NACE</w:t>
      </w:r>
      <w:r w:rsidRPr="00974025">
        <w:rPr>
          <w:color w:val="595959" w:themeColor="text1" w:themeTint="A6"/>
        </w:rPr>
        <w:t xml:space="preserve"> </w:t>
      </w:r>
      <w:proofErr w:type="spellStart"/>
      <w:r w:rsidRPr="00032FA8">
        <w:rPr>
          <w:color w:val="595959" w:themeColor="text1" w:themeTint="A6"/>
        </w:rPr>
        <w:t>Rev</w:t>
      </w:r>
      <w:proofErr w:type="spellEnd"/>
      <w:r w:rsidRPr="00974025">
        <w:rPr>
          <w:color w:val="595959" w:themeColor="text1" w:themeTint="A6"/>
        </w:rPr>
        <w:t xml:space="preserve">. 2. Δεν περιλαμβάνονται ο πρωτογενής τομέας και οι δραστηριότητες των νοικοκυριών. </w:t>
      </w:r>
    </w:p>
  </w:footnote>
  <w:footnote w:id="2">
    <w:p w14:paraId="1E303DE2" w14:textId="0BD491E9" w:rsidR="00AE505C" w:rsidRDefault="00AE505C" w:rsidP="00F63EF9">
      <w:pPr>
        <w:pStyle w:val="a4"/>
      </w:pPr>
      <w:r>
        <w:rPr>
          <w:rStyle w:val="a5"/>
        </w:rPr>
        <w:footnoteRef/>
      </w:r>
      <w:r>
        <w:t xml:space="preserve"> </w:t>
      </w:r>
      <w:r>
        <w:tab/>
      </w:r>
      <w:r w:rsidRPr="00665C91">
        <w:rPr>
          <w:color w:val="595959"/>
        </w:rPr>
        <w:t xml:space="preserve">Οι αποκρατικοποιήσεις έχουν ιδιαίτερη δημοσιονομική μεταχείριση. Αν πρόκειται για χρηματοοικονομικές συναλλαγές, όπως η αγοραπωλησία μετοχών, τότε δεν καταγράφονται καθόλου στο αποτέλεσμα. Αν πρόκειται για πωλήσεις μη χρηματοοικονομικών περιουσιακών στοιχείων, όπως ακίνητα, τότε καταγράφονται στο αποτέλεσμα κατά </w:t>
      </w:r>
      <w:r w:rsidRPr="00665C91">
        <w:rPr>
          <w:color w:val="595959"/>
          <w:lang w:val="en-US"/>
        </w:rPr>
        <w:t>ESA</w:t>
      </w:r>
      <w:r w:rsidRPr="00665C91">
        <w:rPr>
          <w:color w:val="595959"/>
        </w:rPr>
        <w:t xml:space="preserve"> αλλά όχι στο αποτέλεσμα </w:t>
      </w:r>
      <w:r>
        <w:rPr>
          <w:color w:val="595959"/>
        </w:rPr>
        <w:t>της ενισχυμένης εποπτείας</w:t>
      </w:r>
      <w:r w:rsidRPr="00665C91">
        <w:rPr>
          <w:color w:val="595959"/>
        </w:rPr>
        <w:t xml:space="preserve">. Αν τέλος, πρόκειται για έσοδα από εκμετάλλευση δημόσιων περιουσιακών στοιχείων με διατήρηση της ιδιοκτησίας από το κράτος, δηλαδή παραχωρήσεις, τότε καταγράφονται και στο αποτέλεσμα κατά ESA και στο αποτέλεσμα </w:t>
      </w:r>
      <w:r>
        <w:rPr>
          <w:color w:val="595959"/>
        </w:rPr>
        <w:t>της ενισχυμένης εποπτείας</w:t>
      </w:r>
      <w:r w:rsidRPr="00665C91">
        <w:rPr>
          <w:color w:val="595959"/>
        </w:rPr>
        <w:t>. Ωστόσο, το αντίτιμο της παραχώρησης δεν καταγράφεται εξολοκλήρου στο έτος είσπραξης, αλλά κατανέμεται στα έτη διάρκειας της παραχώρησης με όρους παρούσας αξίας, δηλαδή τα ποσά στα πρώτα έτη είναι σχετικά χαμη</w:t>
      </w:r>
      <w:r>
        <w:rPr>
          <w:color w:val="595959"/>
        </w:rPr>
        <w:t xml:space="preserve">λά και αυξάνονται στα επόμενα. </w:t>
      </w:r>
    </w:p>
  </w:footnote>
  <w:footnote w:id="3">
    <w:p w14:paraId="3BC2CC90" w14:textId="25C2FEA3" w:rsidR="00AE505C" w:rsidRPr="00032FA8" w:rsidRDefault="00AE505C" w:rsidP="008E2A0E">
      <w:pPr>
        <w:pStyle w:val="a4"/>
        <w:spacing w:line="276" w:lineRule="auto"/>
        <w:ind w:left="284" w:hanging="137"/>
        <w:rPr>
          <w:color w:val="595959" w:themeColor="text1" w:themeTint="A6"/>
        </w:rPr>
      </w:pPr>
      <w:r w:rsidRPr="00032FA8">
        <w:rPr>
          <w:rStyle w:val="a5"/>
          <w:color w:val="595959" w:themeColor="text1" w:themeTint="A6"/>
        </w:rPr>
        <w:footnoteRef/>
      </w:r>
      <w:r>
        <w:rPr>
          <w:color w:val="595959" w:themeColor="text1" w:themeTint="A6"/>
        </w:rPr>
        <w:t xml:space="preserve"> </w:t>
      </w:r>
      <w:r w:rsidRPr="00032FA8">
        <w:rPr>
          <w:color w:val="595959" w:themeColor="text1" w:themeTint="A6"/>
        </w:rPr>
        <w:t xml:space="preserve">Το «Συνολικό Ληξιπρόθεσμο Υπόλοιπο» περιλαμβάνει τις συσσωρευμένες οφειλές στο τέλος κάθε μήνα αναφοράς, αθροίζοντας το «παλιό» ληξιπρόθεσμο χρέος, όπως διαμορφώθηκε στις 30/11 του προηγούμενου έτους, με το «νέο» ληξιπρόθεσμο χρέος, όπως διαμορφώθηκε μέχρι τον μήνα αναφοράς και αφαιρώντας εισπράξεις και διαγραφές έναντι «παλιού» και «νέου» ληξιπρόθεσμου χρέους μέχρι τον μήνα αναφοράς. </w:t>
      </w:r>
    </w:p>
  </w:footnote>
  <w:footnote w:id="4">
    <w:p w14:paraId="3B2E7266" w14:textId="0A4538D9" w:rsidR="00AE505C" w:rsidRPr="001871E5" w:rsidRDefault="00AE505C" w:rsidP="008E2A0E">
      <w:pPr>
        <w:pStyle w:val="a4"/>
        <w:spacing w:line="276" w:lineRule="auto"/>
        <w:ind w:hanging="5"/>
        <w:rPr>
          <w:color w:val="595959" w:themeColor="text1" w:themeTint="A6"/>
        </w:rPr>
      </w:pPr>
      <w:r w:rsidRPr="001871E5">
        <w:rPr>
          <w:rStyle w:val="a5"/>
          <w:color w:val="595959" w:themeColor="text1" w:themeTint="A6"/>
        </w:rPr>
        <w:footnoteRef/>
      </w:r>
      <w:r w:rsidRPr="001871E5">
        <w:rPr>
          <w:rStyle w:val="a5"/>
          <w:color w:val="595959" w:themeColor="text1" w:themeTint="A6"/>
        </w:rPr>
        <w:t xml:space="preserve"> </w:t>
      </w:r>
      <w:r w:rsidRPr="001871E5">
        <w:rPr>
          <w:color w:val="595959" w:themeColor="text1" w:themeTint="A6"/>
        </w:rPr>
        <w:t>Η ΑΑΔΕ δημοσιεύει στην ιστοσελίδα της</w:t>
      </w:r>
      <w:r>
        <w:rPr>
          <w:color w:val="595959" w:themeColor="text1" w:themeTint="A6"/>
        </w:rPr>
        <w:t xml:space="preserve"> </w:t>
      </w:r>
      <w:hyperlink r:id="rId1" w:history="1">
        <w:r w:rsidRPr="003A0680">
          <w:rPr>
            <w:color w:val="595959" w:themeColor="text1" w:themeTint="A6"/>
            <w:u w:val="single"/>
          </w:rPr>
          <w:t>στατιστικά στοιχεία-δείκτες</w:t>
        </w:r>
      </w:hyperlink>
      <w:r w:rsidRPr="001871E5">
        <w:rPr>
          <w:color w:val="595959" w:themeColor="text1" w:themeTint="A6"/>
        </w:rPr>
        <w:t>.</w:t>
      </w:r>
    </w:p>
  </w:footnote>
  <w:footnote w:id="5">
    <w:p w14:paraId="7FE794D5" w14:textId="2E059486" w:rsidR="00AE505C" w:rsidRDefault="00AE505C" w:rsidP="008E2A0E">
      <w:pPr>
        <w:pStyle w:val="a4"/>
        <w:spacing w:line="276" w:lineRule="auto"/>
        <w:ind w:left="284" w:hanging="137"/>
        <w:rPr>
          <w:color w:val="595959"/>
        </w:rPr>
      </w:pPr>
      <w:r w:rsidRPr="00032FA8">
        <w:rPr>
          <w:rStyle w:val="a5"/>
          <w:color w:val="595959" w:themeColor="text1" w:themeTint="A6"/>
        </w:rPr>
        <w:footnoteRef/>
      </w:r>
      <w:r w:rsidRPr="00032FA8">
        <w:rPr>
          <w:color w:val="595959" w:themeColor="text1" w:themeTint="A6"/>
        </w:rPr>
        <w:t xml:space="preserve"> </w:t>
      </w:r>
      <w:r>
        <w:rPr>
          <w:color w:val="595959" w:themeColor="text1" w:themeTint="A6"/>
        </w:rPr>
        <w:tab/>
      </w:r>
      <w:r w:rsidRPr="00032FA8">
        <w:rPr>
          <w:color w:val="595959" w:themeColor="text1" w:themeTint="A6"/>
        </w:rPr>
        <w:t>Επειδή τα νέα ληξιπρόθεσμα υπολογίζονται στην αρχή του μήνα αναφοράς, ενώ το συνολικό ληξιπρόθεσμο στο τέλος του, ο υπολογισμός του νέου ληξιπρόθεσ</w:t>
      </w:r>
      <w:r>
        <w:rPr>
          <w:color w:val="595959" w:themeColor="text1" w:themeTint="A6"/>
        </w:rPr>
        <w:t>μου χρέους της περιόδου 1/10/2020-31/12</w:t>
      </w:r>
      <w:r w:rsidRPr="00FC1A66">
        <w:rPr>
          <w:color w:val="595959" w:themeColor="text1" w:themeTint="A6"/>
        </w:rPr>
        <w:t xml:space="preserve">/2020 γίνεται βάσει της ταυτότητας ροών-αποθεμάτων. </w:t>
      </w:r>
      <w:r>
        <w:rPr>
          <w:color w:val="595959"/>
        </w:rPr>
        <w:t>Συγκεκριμένα, χρησιμοποιείται η ταυτότητα </w:t>
      </w:r>
      <w:r>
        <w:rPr>
          <w:i/>
          <w:iCs/>
          <w:color w:val="595959"/>
          <w:lang w:val="en-US"/>
        </w:rPr>
        <w:t>S</w:t>
      </w:r>
      <w:r>
        <w:rPr>
          <w:i/>
          <w:iCs/>
          <w:color w:val="595959"/>
          <w:vertAlign w:val="subscript"/>
        </w:rPr>
        <w:t xml:space="preserve">2 </w:t>
      </w:r>
      <w:r>
        <w:rPr>
          <w:i/>
          <w:iCs/>
          <w:color w:val="595959"/>
        </w:rPr>
        <w:t>– (</w:t>
      </w:r>
      <w:r>
        <w:rPr>
          <w:i/>
          <w:iCs/>
          <w:color w:val="595959"/>
          <w:lang w:val="en-US"/>
        </w:rPr>
        <w:t>S</w:t>
      </w:r>
      <w:r>
        <w:rPr>
          <w:i/>
          <w:iCs/>
          <w:color w:val="595959"/>
          <w:vertAlign w:val="subscript"/>
        </w:rPr>
        <w:t>1</w:t>
      </w:r>
      <w:r>
        <w:rPr>
          <w:i/>
          <w:iCs/>
          <w:color w:val="595959"/>
          <w:vertAlign w:val="subscript"/>
          <w:lang w:val="en-US"/>
        </w:rPr>
        <w:t>a</w:t>
      </w:r>
      <w:r w:rsidRPr="004723EE">
        <w:rPr>
          <w:i/>
          <w:iCs/>
          <w:color w:val="595959"/>
          <w:vertAlign w:val="subscript"/>
        </w:rPr>
        <w:t xml:space="preserve"> </w:t>
      </w:r>
      <w:r>
        <w:rPr>
          <w:i/>
          <w:iCs/>
          <w:color w:val="595959"/>
        </w:rPr>
        <w:t xml:space="preserve">+ </w:t>
      </w:r>
      <w:r>
        <w:rPr>
          <w:i/>
          <w:iCs/>
          <w:color w:val="595959"/>
          <w:lang w:val="en-US"/>
        </w:rPr>
        <w:t>S</w:t>
      </w:r>
      <w:r>
        <w:rPr>
          <w:i/>
          <w:iCs/>
          <w:color w:val="595959"/>
          <w:vertAlign w:val="subscript"/>
        </w:rPr>
        <w:t>1</w:t>
      </w:r>
      <w:r>
        <w:rPr>
          <w:i/>
          <w:iCs/>
          <w:color w:val="595959"/>
          <w:vertAlign w:val="subscript"/>
          <w:lang w:val="en-US"/>
        </w:rPr>
        <w:t>b</w:t>
      </w:r>
      <w:r>
        <w:rPr>
          <w:i/>
          <w:iCs/>
          <w:color w:val="595959"/>
        </w:rPr>
        <w:t xml:space="preserve">)= </w:t>
      </w:r>
      <w:r>
        <w:rPr>
          <w:i/>
          <w:iCs/>
          <w:color w:val="595959"/>
          <w:lang w:val="en-US"/>
        </w:rPr>
        <w:t>I</w:t>
      </w:r>
      <w:r>
        <w:rPr>
          <w:i/>
          <w:iCs/>
          <w:color w:val="595959"/>
        </w:rPr>
        <w:t xml:space="preserve"> – </w:t>
      </w:r>
      <w:r>
        <w:rPr>
          <w:i/>
          <w:iCs/>
          <w:color w:val="595959"/>
          <w:lang w:val="en-US"/>
        </w:rPr>
        <w:t>O</w:t>
      </w:r>
      <w:r>
        <w:rPr>
          <w:color w:val="595959"/>
        </w:rPr>
        <w:t xml:space="preserve">, όπου </w:t>
      </w:r>
      <w:r>
        <w:rPr>
          <w:i/>
          <w:iCs/>
          <w:color w:val="595959"/>
          <w:lang w:val="en-US"/>
        </w:rPr>
        <w:t>S</w:t>
      </w:r>
      <w:r>
        <w:rPr>
          <w:i/>
          <w:iCs/>
          <w:color w:val="595959"/>
          <w:vertAlign w:val="subscript"/>
        </w:rPr>
        <w:t xml:space="preserve">2 </w:t>
      </w:r>
      <w:r>
        <w:rPr>
          <w:color w:val="595959"/>
        </w:rPr>
        <w:t>το ληξιπρόθεσμο υπόλοιπο στο τέλος της περιόδου αναφοράς (μεταβλητή αποθέματος),</w:t>
      </w:r>
      <w:r>
        <w:rPr>
          <w:i/>
          <w:iCs/>
          <w:color w:val="595959"/>
        </w:rPr>
        <w:t xml:space="preserve"> </w:t>
      </w:r>
      <w:r>
        <w:rPr>
          <w:i/>
          <w:iCs/>
          <w:color w:val="595959"/>
          <w:lang w:val="en-US"/>
        </w:rPr>
        <w:t>S</w:t>
      </w:r>
      <w:r>
        <w:rPr>
          <w:i/>
          <w:iCs/>
          <w:color w:val="595959"/>
          <w:vertAlign w:val="subscript"/>
        </w:rPr>
        <w:t>1</w:t>
      </w:r>
      <w:r>
        <w:rPr>
          <w:i/>
          <w:iCs/>
          <w:color w:val="595959"/>
          <w:vertAlign w:val="subscript"/>
          <w:lang w:val="en-US"/>
        </w:rPr>
        <w:t>a</w:t>
      </w:r>
      <w:r w:rsidRPr="004723EE">
        <w:rPr>
          <w:i/>
          <w:iCs/>
          <w:color w:val="595959"/>
          <w:vertAlign w:val="subscript"/>
        </w:rPr>
        <w:t xml:space="preserve"> </w:t>
      </w:r>
      <w:r>
        <w:rPr>
          <w:color w:val="595959"/>
        </w:rPr>
        <w:t xml:space="preserve">το ληξιπρόθεσμο υπόλοιπο στην αρχή της περιόδου αναφοράς από βεβαίωση μέχρι την αρχική ημερομηνία (μεταβλητή αποθέματος), </w:t>
      </w:r>
      <w:r>
        <w:rPr>
          <w:i/>
          <w:iCs/>
          <w:color w:val="595959"/>
          <w:lang w:val="en-US"/>
        </w:rPr>
        <w:t>S</w:t>
      </w:r>
      <w:r>
        <w:rPr>
          <w:i/>
          <w:iCs/>
          <w:color w:val="595959"/>
          <w:vertAlign w:val="subscript"/>
        </w:rPr>
        <w:t>1</w:t>
      </w:r>
      <w:r>
        <w:rPr>
          <w:i/>
          <w:iCs/>
          <w:color w:val="595959"/>
          <w:vertAlign w:val="subscript"/>
          <w:lang w:val="en-US"/>
        </w:rPr>
        <w:t>b</w:t>
      </w:r>
      <w:r w:rsidRPr="004723EE">
        <w:rPr>
          <w:i/>
          <w:iCs/>
          <w:color w:val="595959"/>
          <w:vertAlign w:val="subscript"/>
        </w:rPr>
        <w:t xml:space="preserve"> </w:t>
      </w:r>
      <w:r>
        <w:rPr>
          <w:color w:val="595959"/>
        </w:rPr>
        <w:t xml:space="preserve">το ληξιπρόθεσμο υπόλοιπο στην αρχή της περιόδου αναφοράς από βεβαίωση μετά την αρχική ημερομηνία (μεταβλητή αποθέματος), </w:t>
      </w:r>
      <w:r>
        <w:rPr>
          <w:color w:val="595959"/>
          <w:lang w:val="en-US"/>
        </w:rPr>
        <w:t>I</w:t>
      </w:r>
      <w:r w:rsidRPr="004723EE">
        <w:rPr>
          <w:color w:val="595959"/>
        </w:rPr>
        <w:t xml:space="preserve"> </w:t>
      </w:r>
      <w:r>
        <w:rPr>
          <w:color w:val="595959"/>
        </w:rPr>
        <w:t xml:space="preserve">το νέο ληξιπρόθεσμο υπόλοιπο, το οποίο διαμορφώνεται κατά την περίοδο αναφοράς (μεταβλητή ροής) και </w:t>
      </w:r>
      <w:r>
        <w:rPr>
          <w:color w:val="595959"/>
          <w:lang w:val="en-US"/>
        </w:rPr>
        <w:t>O</w:t>
      </w:r>
      <w:r w:rsidRPr="004723EE">
        <w:rPr>
          <w:color w:val="595959"/>
        </w:rPr>
        <w:t xml:space="preserve"> </w:t>
      </w:r>
      <w:r>
        <w:rPr>
          <w:color w:val="595959"/>
        </w:rPr>
        <w:t xml:space="preserve">το άθροισμα των συνολικών εισπράξεων και διαγραφών έναντι ληξιπρόθεσμων οφειλών κατά την περίοδο αναφοράς (μεταβλητή ροής). Αντικαθιστώντας στην ταυτότητα, τα δεδομένα που αφορούν την εξεταζόμενη περίοδο και εκτελώντας τις απαραίτητες αλγεβρικές πράξεις προκύπτει ο υπολογισμός του νέου ληξιπρόθεσμου υπολοίπου ως εξής: </w:t>
      </w:r>
    </w:p>
    <w:p w14:paraId="7245B127" w14:textId="77777777" w:rsidR="00AE505C" w:rsidRPr="004723EE" w:rsidRDefault="00AE505C" w:rsidP="008E2A0E">
      <w:pPr>
        <w:pStyle w:val="a4"/>
        <w:spacing w:line="276" w:lineRule="auto"/>
        <w:ind w:left="284" w:firstLine="0"/>
        <w:rPr>
          <w:color w:val="595959" w:themeColor="text1" w:themeTint="A6"/>
        </w:rPr>
      </w:pPr>
      <w:r>
        <w:rPr>
          <w:color w:val="595959"/>
        </w:rPr>
        <w:t>108,1-(106,2+0,6)+1,5=2,8 δις ευρώ</w:t>
      </w:r>
      <w:r>
        <w:rPr>
          <w:color w:val="595959" w:themeColor="text1" w:themeTint="A6"/>
        </w:rPr>
        <w:t>.</w:t>
      </w:r>
    </w:p>
  </w:footnote>
  <w:footnote w:id="6">
    <w:p w14:paraId="76AA1615" w14:textId="77777777" w:rsidR="00AE505C" w:rsidRPr="00032FA8" w:rsidRDefault="00AE505C" w:rsidP="008E2A0E">
      <w:pPr>
        <w:pStyle w:val="a4"/>
        <w:spacing w:line="276" w:lineRule="auto"/>
        <w:ind w:left="142" w:hanging="142"/>
        <w:rPr>
          <w:color w:val="595959" w:themeColor="text1" w:themeTint="A6"/>
        </w:rPr>
      </w:pPr>
      <w:r w:rsidRPr="00032FA8">
        <w:rPr>
          <w:rStyle w:val="a5"/>
          <w:color w:val="595959" w:themeColor="text1" w:themeTint="A6"/>
        </w:rPr>
        <w:footnoteRef/>
      </w:r>
      <w:r w:rsidRPr="00032FA8">
        <w:rPr>
          <w:color w:val="595959" w:themeColor="text1" w:themeTint="A6"/>
        </w:rPr>
        <w:t xml:space="preserve"> </w:t>
      </w:r>
      <w:r>
        <w:rPr>
          <w:color w:val="595959" w:themeColor="text1" w:themeTint="A6"/>
        </w:rPr>
        <w:tab/>
      </w:r>
      <w:r w:rsidRPr="00F95C82">
        <w:rPr>
          <w:color w:val="595959" w:themeColor="text1" w:themeTint="A6"/>
        </w:rPr>
        <w:t>Οι συνολικές οφειλές περιλαμβάνουν τις κύριες οφειλές ύψους 24,9 δις ευρώ και τα πρόσθετα τέλη ύψους 12,6 δις ευρώ.</w:t>
      </w:r>
      <w:r>
        <w:rPr>
          <w:color w:val="595959" w:themeColor="text1" w:themeTint="A6"/>
        </w:rPr>
        <w:t xml:space="preserve"> </w:t>
      </w:r>
    </w:p>
  </w:footnote>
  <w:footnote w:id="7">
    <w:p w14:paraId="761E19A3" w14:textId="77777777" w:rsidR="00AE505C" w:rsidRDefault="00AE505C" w:rsidP="008E2A0E">
      <w:pPr>
        <w:pStyle w:val="a4"/>
        <w:spacing w:line="276" w:lineRule="auto"/>
      </w:pPr>
      <w:r>
        <w:rPr>
          <w:rStyle w:val="a5"/>
        </w:rPr>
        <w:footnoteRef/>
      </w:r>
      <w:r>
        <w:t xml:space="preserve"> </w:t>
      </w:r>
      <w:r>
        <w:tab/>
      </w:r>
      <w:r>
        <w:rPr>
          <w:color w:val="595959" w:themeColor="text1" w:themeTint="A6"/>
        </w:rPr>
        <w:t>Τα μητρώα ο</w:t>
      </w:r>
      <w:r w:rsidRPr="00EA5E20">
        <w:rPr>
          <w:color w:val="595959" w:themeColor="text1" w:themeTint="A6"/>
        </w:rPr>
        <w:t>φειλετών</w:t>
      </w:r>
      <w:r>
        <w:rPr>
          <w:color w:val="595959" w:themeColor="text1" w:themeTint="A6"/>
        </w:rPr>
        <w:t xml:space="preserve"> δεν αντιστοιχούν σε διακριτούς οφειλέτες καθώς</w:t>
      </w:r>
      <w:r w:rsidRPr="00EA5E20">
        <w:rPr>
          <w:color w:val="595959" w:themeColor="text1" w:themeTint="A6"/>
        </w:rPr>
        <w:t xml:space="preserve"> κάποιοι οφειλέτες έχουν περι</w:t>
      </w:r>
      <w:r>
        <w:rPr>
          <w:color w:val="595959" w:themeColor="text1" w:themeTint="A6"/>
        </w:rPr>
        <w:t xml:space="preserve">σσότερα από ένα μητρώα, γεγονός που οφείλεται </w:t>
      </w:r>
      <w:r w:rsidRPr="00616E9C">
        <w:rPr>
          <w:color w:val="595959" w:themeColor="text1" w:themeTint="A6"/>
        </w:rPr>
        <w:t>στην ένταξη οφειλών που δημιούργησαν στον ΕΦΚΑ από το 2017 και μετά ήδη υφιστάμενοι οφειλέτες των τέως Ταμείων (</w:t>
      </w:r>
      <w:r>
        <w:rPr>
          <w:color w:val="595959" w:themeColor="text1" w:themeTint="A6"/>
        </w:rPr>
        <w:t>ΟΑΕΕ, ΕΤΑΑ κ.λπ.) και οι οποίες ξεκίνησαν να καταχωρούνται κατά το 2019</w:t>
      </w:r>
      <w:r w:rsidRPr="00616E9C">
        <w:rPr>
          <w:color w:val="595959" w:themeColor="text1" w:themeTint="A6"/>
        </w:rPr>
        <w:t xml:space="preserve"> σε νέα μητρώα</w:t>
      </w:r>
      <w:r>
        <w:rPr>
          <w:color w:val="595959" w:themeColor="text1" w:themeTint="A6"/>
        </w:rPr>
        <w:t xml:space="preserve">. </w:t>
      </w:r>
    </w:p>
  </w:footnote>
  <w:footnote w:id="8">
    <w:p w14:paraId="7BCA85B6" w14:textId="77777777" w:rsidR="00AE505C" w:rsidRDefault="00AE505C" w:rsidP="007C3A64">
      <w:pPr>
        <w:pStyle w:val="a4"/>
        <w:spacing w:line="276" w:lineRule="auto"/>
      </w:pPr>
      <w:r w:rsidRPr="00795B19">
        <w:rPr>
          <w:color w:val="595959" w:themeColor="text1" w:themeTint="A6"/>
          <w:szCs w:val="16"/>
          <w:vertAlign w:val="superscript"/>
        </w:rPr>
        <w:footnoteRef/>
      </w:r>
      <w:r>
        <w:t xml:space="preserve"> </w:t>
      </w:r>
      <w:r>
        <w:tab/>
      </w:r>
      <w:r w:rsidRPr="00795B19">
        <w:rPr>
          <w:color w:val="595959" w:themeColor="text1" w:themeTint="A6"/>
          <w:szCs w:val="16"/>
        </w:rPr>
        <w:t xml:space="preserve">Σημειώνεται ότι </w:t>
      </w:r>
      <w:r>
        <w:rPr>
          <w:color w:val="595959" w:themeColor="text1" w:themeTint="A6"/>
          <w:szCs w:val="16"/>
        </w:rPr>
        <w:t>οι διαφορές σε σχέση με το 2019 στις «Μεταβιβάσεις από κρατικό προϋπολογισμό» και στις «Ά</w:t>
      </w:r>
      <w:r w:rsidRPr="00795B19">
        <w:rPr>
          <w:color w:val="595959" w:themeColor="text1" w:themeTint="A6"/>
          <w:szCs w:val="16"/>
        </w:rPr>
        <w:t>λλες παροχές</w:t>
      </w:r>
      <w:r>
        <w:rPr>
          <w:color w:val="595959" w:themeColor="text1" w:themeTint="A6"/>
          <w:szCs w:val="16"/>
        </w:rPr>
        <w:t xml:space="preserve"> και εφάπαξ»</w:t>
      </w:r>
      <w:r w:rsidRPr="00795B19">
        <w:rPr>
          <w:color w:val="595959" w:themeColor="text1" w:themeTint="A6"/>
          <w:szCs w:val="16"/>
        </w:rPr>
        <w:t xml:space="preserve"> </w:t>
      </w:r>
      <w:r>
        <w:rPr>
          <w:color w:val="595959" w:themeColor="text1" w:themeTint="A6"/>
          <w:szCs w:val="16"/>
        </w:rPr>
        <w:t>οφείλονται κατά κύριο λόγο στην καταβολή</w:t>
      </w:r>
      <w:r w:rsidRPr="00795B19">
        <w:rPr>
          <w:color w:val="595959" w:themeColor="text1" w:themeTint="A6"/>
          <w:szCs w:val="16"/>
        </w:rPr>
        <w:t xml:space="preserve"> της 13</w:t>
      </w:r>
      <w:r w:rsidRPr="00171E88">
        <w:rPr>
          <w:color w:val="595959" w:themeColor="text1" w:themeTint="A6"/>
          <w:szCs w:val="16"/>
          <w:vertAlign w:val="superscript"/>
        </w:rPr>
        <w:t>ης</w:t>
      </w:r>
      <w:r w:rsidRPr="00795B19">
        <w:rPr>
          <w:color w:val="595959" w:themeColor="text1" w:themeTint="A6"/>
          <w:szCs w:val="16"/>
        </w:rPr>
        <w:t xml:space="preserve"> σύνταξης, η οποία δεν επαναλήφθηκε.</w:t>
      </w:r>
    </w:p>
  </w:footnote>
  <w:footnote w:id="9">
    <w:p w14:paraId="23788EEE" w14:textId="73016A3C" w:rsidR="00AE505C" w:rsidRDefault="00AE505C" w:rsidP="007C3A64">
      <w:pPr>
        <w:pStyle w:val="a4"/>
      </w:pPr>
      <w:r>
        <w:rPr>
          <w:rStyle w:val="a5"/>
        </w:rPr>
        <w:footnoteRef/>
      </w:r>
      <w:r>
        <w:t xml:space="preserve"> </w:t>
      </w:r>
      <w:r w:rsidRPr="00C32887">
        <w:rPr>
          <w:color w:val="595959"/>
        </w:rPr>
        <w:t>Δεν περιλαμβάνονται εκείνες που αφορούν συνταξιοδότηση με διεθνείς κανόνες.</w:t>
      </w:r>
    </w:p>
  </w:footnote>
  <w:footnote w:id="10">
    <w:p w14:paraId="63100505" w14:textId="77777777" w:rsidR="00AE505C" w:rsidRPr="00BE6CA9" w:rsidRDefault="00AE505C" w:rsidP="007C3A64">
      <w:pPr>
        <w:pStyle w:val="a4"/>
        <w:spacing w:line="276" w:lineRule="auto"/>
        <w:rPr>
          <w:color w:val="595959" w:themeColor="text1" w:themeTint="A6"/>
        </w:rPr>
      </w:pPr>
      <w:r>
        <w:rPr>
          <w:rStyle w:val="a5"/>
        </w:rPr>
        <w:footnoteRef/>
      </w:r>
      <w:r>
        <w:t xml:space="preserve"> </w:t>
      </w:r>
      <w:r>
        <w:tab/>
      </w:r>
      <w:r w:rsidRPr="00C32887">
        <w:rPr>
          <w:color w:val="595959"/>
        </w:rPr>
        <w:t xml:space="preserve">Η δαπάνη αυτή αφορά το οφειλόμενο καθαρό ποσό στους δικαιούχους, δηλαδή το ποσό που προκύπτει αν από το μικτό ποσό αφαιρεθεί η </w:t>
      </w:r>
      <w:r w:rsidRPr="00BE6CA9">
        <w:rPr>
          <w:color w:val="595959" w:themeColor="text1" w:themeTint="A6"/>
        </w:rPr>
        <w:t>κράτηση υπέρ ΕΟΠΥΥ (6%) και του φόρου εισοδήματος.</w:t>
      </w:r>
    </w:p>
  </w:footnote>
  <w:footnote w:id="11">
    <w:p w14:paraId="789D725F" w14:textId="77777777" w:rsidR="00AE505C" w:rsidRDefault="00AE505C" w:rsidP="007C3A64">
      <w:pPr>
        <w:pStyle w:val="a4"/>
      </w:pPr>
      <w:r w:rsidRPr="00BE6CA9">
        <w:rPr>
          <w:rStyle w:val="a5"/>
          <w:color w:val="595959" w:themeColor="text1" w:themeTint="A6"/>
        </w:rPr>
        <w:footnoteRef/>
      </w:r>
      <w:r w:rsidRPr="00BE6CA9">
        <w:rPr>
          <w:color w:val="595959" w:themeColor="text1" w:themeTint="A6"/>
        </w:rPr>
        <w:t xml:space="preserve"> </w:t>
      </w:r>
      <w:r w:rsidRPr="00BE6CA9">
        <w:rPr>
          <w:color w:val="595959" w:themeColor="text1" w:themeTint="A6"/>
        </w:rPr>
        <w:t xml:space="preserve">Επισημαίνεται ότι πιθανές διαφορές </w:t>
      </w:r>
      <w:r>
        <w:rPr>
          <w:color w:val="595959" w:themeColor="text1" w:themeTint="A6"/>
        </w:rPr>
        <w:t>με τα στοιχεία που αναφέρονταν σε προηγούμενες εκθέσεις μας οφείλονται σε αναθεώρηση των σχετικών στοιχείων από τις αρμόδιες υπηρεσίες του ΕΦΚΑ, η οποία κρίνεται αναγκαία λόγω της δυνατότητας που έχουν οι ασφαλισμένοι να οριστικοποιήσουν την αίτηση συνταξιοδότησής τους με ύστερη προσκόμιση δικαιολογητικών χωρίς αυτό να επηρεάζει την ημερομηνία αρχικής υποβολής της αίτησής τους.</w:t>
      </w:r>
    </w:p>
  </w:footnote>
  <w:footnote w:id="12">
    <w:p w14:paraId="4B399362" w14:textId="77777777" w:rsidR="00AE505C" w:rsidRPr="00BE3C03" w:rsidRDefault="00AE505C" w:rsidP="008E2A0E">
      <w:pPr>
        <w:pStyle w:val="a4"/>
        <w:spacing w:line="276" w:lineRule="auto"/>
        <w:rPr>
          <w:color w:val="595959" w:themeColor="text1" w:themeTint="A6"/>
        </w:rPr>
      </w:pPr>
      <w:r w:rsidRPr="00BE3C03">
        <w:rPr>
          <w:rStyle w:val="a5"/>
        </w:rPr>
        <w:footnoteRef/>
      </w:r>
      <w:r w:rsidRPr="00BE3C03">
        <w:rPr>
          <w:color w:val="595959" w:themeColor="text1" w:themeTint="A6"/>
        </w:rPr>
        <w:t xml:space="preserve"> </w:t>
      </w:r>
      <w:r w:rsidRPr="0016097C">
        <w:rPr>
          <w:color w:val="595959" w:themeColor="text1" w:themeTint="A6"/>
        </w:rPr>
        <w:t>Όπως προκύπτει από τα στοιχεία που έθεσε στη διάθεσή μας ο ΟΠΕΚΑ</w:t>
      </w:r>
      <w:r>
        <w:rPr>
          <w:color w:val="595959" w:themeColor="text1" w:themeTint="A6"/>
        </w:rPr>
        <w:t>.</w:t>
      </w:r>
    </w:p>
  </w:footnote>
  <w:footnote w:id="13">
    <w:p w14:paraId="7AD7ED97" w14:textId="77777777" w:rsidR="00AE505C" w:rsidRDefault="00AE505C" w:rsidP="008E2A0E">
      <w:pPr>
        <w:pStyle w:val="a4"/>
        <w:spacing w:line="276" w:lineRule="auto"/>
      </w:pPr>
      <w:r w:rsidRPr="007E30EB">
        <w:rPr>
          <w:rStyle w:val="a5"/>
        </w:rPr>
        <w:footnoteRef/>
      </w:r>
      <w:r w:rsidRPr="007E30EB">
        <w:rPr>
          <w:rStyle w:val="a5"/>
        </w:rPr>
        <w:t xml:space="preserve"> </w:t>
      </w:r>
      <w:r>
        <w:tab/>
      </w:r>
      <w:r w:rsidRPr="007E30EB">
        <w:rPr>
          <w:color w:val="595959" w:themeColor="text1" w:themeTint="A6"/>
        </w:rPr>
        <w:t xml:space="preserve">Βάσει των </w:t>
      </w:r>
      <w:r>
        <w:rPr>
          <w:color w:val="595959" w:themeColor="text1" w:themeTint="A6"/>
        </w:rPr>
        <w:t xml:space="preserve">διατάξεων </w:t>
      </w:r>
      <w:r w:rsidRPr="007E30EB">
        <w:rPr>
          <w:color w:val="595959" w:themeColor="text1" w:themeTint="A6"/>
        </w:rPr>
        <w:t>της με αριθ. 39100 ΚΥΑ (ΦΕΚ 1167 Β, 8-4-2019)</w:t>
      </w:r>
      <w:r>
        <w:t xml:space="preserve">. </w:t>
      </w:r>
    </w:p>
  </w:footnote>
  <w:footnote w:id="14">
    <w:p w14:paraId="48C2B5A3" w14:textId="77777777" w:rsidR="00AE505C" w:rsidRDefault="00AE505C" w:rsidP="008E2A0E">
      <w:pPr>
        <w:pStyle w:val="a4"/>
        <w:spacing w:line="276" w:lineRule="auto"/>
      </w:pPr>
      <w:r>
        <w:rPr>
          <w:rStyle w:val="a5"/>
        </w:rPr>
        <w:footnoteRef/>
      </w:r>
      <w:r>
        <w:t xml:space="preserve"> </w:t>
      </w:r>
      <w:r w:rsidRPr="007E30EB">
        <w:rPr>
          <w:color w:val="595959" w:themeColor="text1" w:themeTint="A6"/>
        </w:rPr>
        <w:t xml:space="preserve">Βάσει των </w:t>
      </w:r>
      <w:r>
        <w:rPr>
          <w:color w:val="595959" w:themeColor="text1" w:themeTint="A6"/>
        </w:rPr>
        <w:t>διατάξεων του Κεφ. Γ του ν. 4714/2020 (ΦΕΚ 148</w:t>
      </w:r>
      <w:r w:rsidRPr="007E30EB">
        <w:rPr>
          <w:color w:val="595959" w:themeColor="text1" w:themeTint="A6"/>
        </w:rPr>
        <w:t xml:space="preserve"> </w:t>
      </w:r>
      <w:r>
        <w:rPr>
          <w:color w:val="595959" w:themeColor="text1" w:themeTint="A6"/>
        </w:rPr>
        <w:t>Α, 31</w:t>
      </w:r>
      <w:r w:rsidRPr="007E30EB">
        <w:rPr>
          <w:color w:val="595959" w:themeColor="text1" w:themeTint="A6"/>
        </w:rPr>
        <w:t>-</w:t>
      </w:r>
      <w:r>
        <w:rPr>
          <w:color w:val="595959" w:themeColor="text1" w:themeTint="A6"/>
        </w:rPr>
        <w:t>7</w:t>
      </w:r>
      <w:r w:rsidRPr="007E30EB">
        <w:rPr>
          <w:color w:val="595959" w:themeColor="text1" w:themeTint="A6"/>
        </w:rPr>
        <w:t>-20</w:t>
      </w:r>
      <w:r>
        <w:rPr>
          <w:color w:val="595959" w:themeColor="text1" w:themeTint="A6"/>
        </w:rPr>
        <w:t>20</w:t>
      </w:r>
      <w:r w:rsidRPr="007E30EB">
        <w:rPr>
          <w:color w:val="595959" w:themeColor="text1" w:themeTint="A6"/>
        </w:rPr>
        <w:t>)</w:t>
      </w:r>
      <w:r>
        <w:t>.</w:t>
      </w:r>
    </w:p>
  </w:footnote>
  <w:footnote w:id="15">
    <w:p w14:paraId="70BF0AC0" w14:textId="77777777" w:rsidR="00AE505C" w:rsidRPr="00E70A0B" w:rsidRDefault="00AE505C" w:rsidP="008E2A0E">
      <w:pPr>
        <w:pStyle w:val="a4"/>
        <w:spacing w:line="276" w:lineRule="auto"/>
        <w:rPr>
          <w:color w:val="595959" w:themeColor="text1" w:themeTint="A6"/>
        </w:rPr>
      </w:pPr>
      <w:r>
        <w:rPr>
          <w:rStyle w:val="a5"/>
        </w:rPr>
        <w:footnoteRef/>
      </w:r>
      <w:r>
        <w:t xml:space="preserve"> </w:t>
      </w:r>
      <w:r w:rsidRPr="00E70A0B">
        <w:rPr>
          <w:color w:val="595959" w:themeColor="text1" w:themeTint="A6"/>
        </w:rPr>
        <w:t xml:space="preserve">Οι κρατικές δαπάνες </w:t>
      </w:r>
      <w:hyperlink r:id="rId2" w:history="1">
        <w:r w:rsidRPr="00E70A0B">
          <w:rPr>
            <w:color w:val="595959" w:themeColor="text1" w:themeTint="A6"/>
          </w:rPr>
          <w:t>χωρίζονται</w:t>
        </w:r>
      </w:hyperlink>
      <w:r w:rsidRPr="00E70A0B">
        <w:rPr>
          <w:color w:val="595959" w:themeColor="text1" w:themeTint="A6"/>
        </w:rPr>
        <w:t xml:space="preserve"> σε δέκα κατηγορίες (COFOG) σύμφωνα με την ταξινόμηση του ΟΟΣΑ, η οποία υιοθετείται και από την EUROSTAT. Οι κατηγορίες αυτές αφορούν τις δαπάνες για κοινωνική προστασία (όπου περιλαμβάνονται και οι δαπάνες για συντάξεις), υγεία, γενικές δημόσιες υπηρεσίες, παιδεία, οικονομικά θέματα, δημόσια τάξη &amp; ασφάλεια, άμυνα, αναψυχή-πολιτισμό-θρησκεία, προστασία του περιβάλλοντος, καθώς και για στέγαση &amp; κοινωνικές παροχές. </w:t>
      </w:r>
    </w:p>
  </w:footnote>
  <w:footnote w:id="16">
    <w:p w14:paraId="6C0C4E1A" w14:textId="77777777" w:rsidR="00AE505C" w:rsidRPr="00E70A0B" w:rsidRDefault="00AE505C" w:rsidP="008E2A0E">
      <w:pPr>
        <w:pStyle w:val="a4"/>
        <w:spacing w:line="276" w:lineRule="auto"/>
        <w:rPr>
          <w:color w:val="595959" w:themeColor="text1" w:themeTint="A6"/>
        </w:rPr>
      </w:pPr>
      <w:r>
        <w:rPr>
          <w:rStyle w:val="a5"/>
        </w:rPr>
        <w:footnoteRef/>
      </w:r>
      <w:r>
        <w:t xml:space="preserve"> </w:t>
      </w:r>
      <w:r>
        <w:tab/>
      </w:r>
      <w:r w:rsidRPr="00E70A0B">
        <w:rPr>
          <w:color w:val="595959" w:themeColor="text1" w:themeTint="A6"/>
        </w:rPr>
        <w:t>Δηλαδή, τις κρατικές δαπάνες που αφορούν την κοινωνική προστασία, τη στέγαση, την υγεία και την παιδεία.</w:t>
      </w:r>
    </w:p>
  </w:footnote>
  <w:footnote w:id="17">
    <w:p w14:paraId="2F1D1A15" w14:textId="77777777" w:rsidR="00AE505C" w:rsidRPr="00E70A0B" w:rsidRDefault="00AE505C" w:rsidP="008E2A0E">
      <w:pPr>
        <w:pStyle w:val="a4"/>
        <w:spacing w:line="276" w:lineRule="auto"/>
        <w:rPr>
          <w:color w:val="595959" w:themeColor="text1" w:themeTint="A6"/>
        </w:rPr>
      </w:pPr>
      <w:r w:rsidRPr="005B1DCD">
        <w:rPr>
          <w:rStyle w:val="a5"/>
        </w:rPr>
        <w:footnoteRef/>
      </w:r>
      <w:r w:rsidRPr="00E70A0B">
        <w:rPr>
          <w:color w:val="595959" w:themeColor="text1" w:themeTint="A6"/>
        </w:rPr>
        <w:t xml:space="preserve"> </w:t>
      </w:r>
      <w:r w:rsidRPr="00E70A0B">
        <w:rPr>
          <w:color w:val="595959" w:themeColor="text1" w:themeTint="A6"/>
        </w:rPr>
        <w:t>Οι δαπάνες κοινωνικής προστασίας χωρίζονται στις δαπάνες που αφορούν την τρίτη ηλικία (συμπεριλαμβανομένων των συντάξεων), την ασθένεια &amp; αναπηρία, την οικογένεια &amp; τα παιδιά, την ανεργία, τη στέγαση και λοιπές δαπάνες που συνδέονται με την κοινωνική προστασία και τον κοινωνικό αποκλεισμό.</w:t>
      </w:r>
    </w:p>
  </w:footnote>
  <w:footnote w:id="18">
    <w:p w14:paraId="0A7E5AFE" w14:textId="77777777" w:rsidR="00AE505C" w:rsidRPr="00E70A0B" w:rsidRDefault="00AE505C" w:rsidP="008E2A0E">
      <w:pPr>
        <w:pStyle w:val="a4"/>
        <w:spacing w:line="276" w:lineRule="auto"/>
        <w:rPr>
          <w:color w:val="595959" w:themeColor="text1" w:themeTint="A6"/>
        </w:rPr>
      </w:pPr>
      <w:r w:rsidRPr="00E70A0B">
        <w:rPr>
          <w:color w:val="595959" w:themeColor="text1" w:themeTint="A6"/>
          <w:vertAlign w:val="superscript"/>
        </w:rPr>
        <w:footnoteRef/>
      </w:r>
      <w:r w:rsidRPr="00E70A0B">
        <w:rPr>
          <w:color w:val="595959" w:themeColor="text1" w:themeTint="A6"/>
          <w:vertAlign w:val="superscript"/>
        </w:rPr>
        <w:t xml:space="preserve"> </w:t>
      </w:r>
      <w:r w:rsidRPr="00E70A0B">
        <w:rPr>
          <w:color w:val="595959" w:themeColor="text1" w:themeTint="A6"/>
        </w:rPr>
        <w:t>Οι κρατικές δαπάνες της Ε</w:t>
      </w:r>
      <w:r>
        <w:rPr>
          <w:color w:val="595959" w:themeColor="text1" w:themeTint="A6"/>
        </w:rPr>
        <w:t>λλάδας (47,5% του ΑΕΠ) είναι υψηλότερες κατά 0,5</w:t>
      </w:r>
      <w:r w:rsidRPr="00E70A0B">
        <w:rPr>
          <w:color w:val="595959" w:themeColor="text1" w:themeTint="A6"/>
        </w:rPr>
        <w:t xml:space="preserve"> ποσοστιαίες μονάδες του μέσου ευρωπαϊκού όρου</w:t>
      </w:r>
      <w:r>
        <w:rPr>
          <w:color w:val="595959" w:themeColor="text1" w:themeTint="A6"/>
        </w:rPr>
        <w:t xml:space="preserve"> (47,0% του ΑΕΠ)</w:t>
      </w:r>
      <w:r w:rsidRPr="00E70A0B">
        <w:rPr>
          <w:color w:val="595959" w:themeColor="text1" w:themeTint="A6"/>
        </w:rPr>
        <w:t xml:space="preserve"> το 201</w:t>
      </w:r>
      <w:r>
        <w:rPr>
          <w:color w:val="595959" w:themeColor="text1" w:themeTint="A6"/>
        </w:rPr>
        <w:t>9</w:t>
      </w:r>
      <w:r w:rsidRPr="00E70A0B">
        <w:rPr>
          <w:color w:val="595959" w:themeColor="text1" w:themeTint="A6"/>
        </w:rPr>
        <w:t>.</w:t>
      </w:r>
    </w:p>
  </w:footnote>
  <w:footnote w:id="19">
    <w:p w14:paraId="2C758111" w14:textId="77777777" w:rsidR="00AE505C" w:rsidRPr="00B174BD" w:rsidRDefault="00AE505C" w:rsidP="008E2A0E">
      <w:pPr>
        <w:pStyle w:val="a4"/>
        <w:spacing w:line="276" w:lineRule="auto"/>
        <w:rPr>
          <w:color w:val="595959" w:themeColor="text1" w:themeTint="A6"/>
        </w:rPr>
      </w:pPr>
      <w:r>
        <w:rPr>
          <w:rStyle w:val="a5"/>
        </w:rPr>
        <w:footnoteRef/>
      </w:r>
      <w:r>
        <w:t xml:space="preserve"> </w:t>
      </w:r>
      <w:r w:rsidRPr="00B174BD">
        <w:rPr>
          <w:color w:val="595959" w:themeColor="text1" w:themeTint="A6"/>
        </w:rPr>
        <w:t>Ειδικότερα</w:t>
      </w:r>
      <w:r>
        <w:rPr>
          <w:color w:val="595959" w:themeColor="text1" w:themeTint="A6"/>
        </w:rPr>
        <w:t>, οι κοινωνικές δαπάνες (</w:t>
      </w:r>
      <w:r w:rsidRPr="00E70A0B">
        <w:rPr>
          <w:color w:val="595959" w:themeColor="text1" w:themeTint="A6"/>
        </w:rPr>
        <w:t>που αφορούν την κοινωνική προστασία, τη στέγαση, την υγεία και την παιδεία</w:t>
      </w:r>
      <w:r>
        <w:rPr>
          <w:color w:val="595959" w:themeColor="text1" w:themeTint="A6"/>
        </w:rPr>
        <w:t>) αποτελούν το 68,3% του συνόλου των κρατικών δαπανών στην Ευρωζώνη, ενώ στην Ελλάδα το 61,6%. Ενδεικτικό είναι ότι οι δαπάνες κοινωνικής προστασίας (που, ως ποσοστό του ΑΕΠ, είναι ίδιες σε Ελλάδα και Ευρωζώνη) αφορούν το 41,7% του συνόλου των κρατικών δαπανών στην Ελλάδα και το 42,1% του συνόλου των δαπανών στην Ευρωζώνη. Αντίστοιχα, ως ποσοστό του συνόλου των κρατικών δαπανών</w:t>
      </w:r>
      <w:r w:rsidRPr="00E70A0B">
        <w:rPr>
          <w:color w:val="595959" w:themeColor="text1" w:themeTint="A6"/>
        </w:rPr>
        <w:t xml:space="preserve"> οι δαπάνες για υγεία στην Ελλάδα </w:t>
      </w:r>
      <w:r>
        <w:rPr>
          <w:color w:val="595959" w:themeColor="text1" w:themeTint="A6"/>
        </w:rPr>
        <w:t>(5,3% του ΑΕΠ) υπολείπονται κατά 4</w:t>
      </w:r>
      <w:r w:rsidRPr="00E70A0B">
        <w:rPr>
          <w:color w:val="595959" w:themeColor="text1" w:themeTint="A6"/>
        </w:rPr>
        <w:t>,</w:t>
      </w:r>
      <w:r>
        <w:rPr>
          <w:color w:val="595959" w:themeColor="text1" w:themeTint="A6"/>
        </w:rPr>
        <w:t>1</w:t>
      </w:r>
      <w:r w:rsidRPr="00E70A0B">
        <w:rPr>
          <w:color w:val="595959" w:themeColor="text1" w:themeTint="A6"/>
        </w:rPr>
        <w:t xml:space="preserve"> ποσοστιαίες μονάδες της Ευρωζώνης (</w:t>
      </w:r>
      <w:r>
        <w:rPr>
          <w:color w:val="595959" w:themeColor="text1" w:themeTint="A6"/>
        </w:rPr>
        <w:t>7,2</w:t>
      </w:r>
      <w:r w:rsidRPr="00E70A0B">
        <w:rPr>
          <w:color w:val="595959" w:themeColor="text1" w:themeTint="A6"/>
        </w:rPr>
        <w:t>% του ΑΕΠ</w:t>
      </w:r>
      <w:r>
        <w:rPr>
          <w:color w:val="595959" w:themeColor="text1" w:themeTint="A6"/>
        </w:rPr>
        <w:t>), οι δαπάνες για παιδεία στην Ελλάδα (4,0% του ΑΕΠ) υπολείπονται κατά 1,4 ποσοστιαίες μονάδες της Ευρωζώνης (4,6% του ΑΕΠ) και οι δαπάνες για στέγαση &amp; κοινωνικές παροχές στην Ελλάδα (0,2</w:t>
      </w:r>
      <w:r w:rsidRPr="00E70A0B">
        <w:rPr>
          <w:color w:val="595959" w:themeColor="text1" w:themeTint="A6"/>
        </w:rPr>
        <w:t>% του ΑΕΠ</w:t>
      </w:r>
      <w:r>
        <w:rPr>
          <w:color w:val="595959" w:themeColor="text1" w:themeTint="A6"/>
        </w:rPr>
        <w:t>) υπολείπονται κατά 0,8 ποσοστιαίες μονάδες της</w:t>
      </w:r>
      <w:r w:rsidRPr="00E70A0B">
        <w:rPr>
          <w:color w:val="595959" w:themeColor="text1" w:themeTint="A6"/>
        </w:rPr>
        <w:t xml:space="preserve"> Ευρωζώνη</w:t>
      </w:r>
      <w:r>
        <w:rPr>
          <w:color w:val="595959" w:themeColor="text1" w:themeTint="A6"/>
        </w:rPr>
        <w:t>ς (1,2% του ΑΕΠ).</w:t>
      </w:r>
    </w:p>
  </w:footnote>
  <w:footnote w:id="20">
    <w:p w14:paraId="32E524E5" w14:textId="77777777" w:rsidR="00AE505C" w:rsidRPr="00E70A0B" w:rsidRDefault="00AE505C" w:rsidP="008E2A0E">
      <w:pPr>
        <w:spacing w:after="0" w:line="276" w:lineRule="auto"/>
        <w:ind w:left="142" w:hanging="142"/>
        <w:jc w:val="both"/>
        <w:rPr>
          <w:rFonts w:ascii="Calibri" w:eastAsia="Calibri" w:hAnsi="Calibri" w:cs="Times New Roman"/>
          <w:color w:val="595959" w:themeColor="text1" w:themeTint="A6"/>
          <w:sz w:val="16"/>
          <w:szCs w:val="20"/>
        </w:rPr>
      </w:pPr>
      <w:r w:rsidRPr="00E70A0B">
        <w:rPr>
          <w:rFonts w:ascii="Calibri" w:eastAsia="Calibri" w:hAnsi="Calibri" w:cs="Times New Roman"/>
          <w:color w:val="595959" w:themeColor="text1" w:themeTint="A6"/>
          <w:sz w:val="16"/>
          <w:szCs w:val="16"/>
          <w:vertAlign w:val="superscript"/>
        </w:rPr>
        <w:footnoteRef/>
      </w:r>
      <w:r w:rsidRPr="00E70A0B">
        <w:rPr>
          <w:rFonts w:ascii="Calibri" w:eastAsia="Calibri" w:hAnsi="Calibri" w:cs="Times New Roman"/>
          <w:color w:val="595959" w:themeColor="text1" w:themeTint="A6"/>
          <w:sz w:val="16"/>
          <w:szCs w:val="20"/>
        </w:rPr>
        <w:t>Ως ποσοστό του ΑΕΠ, οι δαπάνες που κατευθύνονται προς γενικές δημόσιες υπη</w:t>
      </w:r>
      <w:r>
        <w:rPr>
          <w:rFonts w:ascii="Calibri" w:eastAsia="Calibri" w:hAnsi="Calibri" w:cs="Times New Roman"/>
          <w:color w:val="595959" w:themeColor="text1" w:themeTint="A6"/>
          <w:sz w:val="16"/>
          <w:szCs w:val="20"/>
        </w:rPr>
        <w:t>ρεσίες είναι υψηλότερες κατά 2,1 ποσοστιαίες μονάδες (7</w:t>
      </w:r>
      <w:r w:rsidRPr="00E70A0B">
        <w:rPr>
          <w:rFonts w:ascii="Calibri" w:eastAsia="Calibri" w:hAnsi="Calibri" w:cs="Times New Roman"/>
          <w:color w:val="595959" w:themeColor="text1" w:themeTint="A6"/>
          <w:sz w:val="16"/>
          <w:szCs w:val="20"/>
        </w:rPr>
        <w:t>,</w:t>
      </w:r>
      <w:r>
        <w:rPr>
          <w:rFonts w:ascii="Calibri" w:eastAsia="Calibri" w:hAnsi="Calibri" w:cs="Times New Roman"/>
          <w:color w:val="595959" w:themeColor="text1" w:themeTint="A6"/>
          <w:sz w:val="16"/>
          <w:szCs w:val="20"/>
        </w:rPr>
        <w:t>9% του ΑΕΠ στην Ελλάδα το 2019</w:t>
      </w:r>
      <w:r w:rsidRPr="00E70A0B">
        <w:rPr>
          <w:rFonts w:ascii="Calibri" w:eastAsia="Calibri" w:hAnsi="Calibri" w:cs="Times New Roman"/>
          <w:color w:val="595959" w:themeColor="text1" w:themeTint="A6"/>
          <w:sz w:val="16"/>
          <w:szCs w:val="20"/>
        </w:rPr>
        <w:t xml:space="preserve"> και </w:t>
      </w:r>
      <w:r>
        <w:rPr>
          <w:rFonts w:ascii="Calibri" w:eastAsia="Calibri" w:hAnsi="Calibri" w:cs="Times New Roman"/>
          <w:color w:val="595959" w:themeColor="text1" w:themeTint="A6"/>
          <w:sz w:val="16"/>
          <w:szCs w:val="20"/>
        </w:rPr>
        <w:t>5,8% στην Ευρωζώνη),</w:t>
      </w:r>
      <w:r w:rsidRPr="00E70A0B">
        <w:rPr>
          <w:rFonts w:ascii="Calibri" w:eastAsia="Calibri" w:hAnsi="Calibri" w:cs="Times New Roman"/>
          <w:color w:val="595959" w:themeColor="text1" w:themeTint="A6"/>
          <w:sz w:val="16"/>
          <w:szCs w:val="20"/>
        </w:rPr>
        <w:t xml:space="preserve"> οι δαπάνες για άμυνα κα</w:t>
      </w:r>
      <w:r>
        <w:rPr>
          <w:rFonts w:ascii="Calibri" w:eastAsia="Calibri" w:hAnsi="Calibri" w:cs="Times New Roman"/>
          <w:color w:val="595959" w:themeColor="text1" w:themeTint="A6"/>
          <w:sz w:val="16"/>
          <w:szCs w:val="20"/>
        </w:rPr>
        <w:t>ι δημόσια τάξη &amp; ασφάλεια κατά 0</w:t>
      </w:r>
      <w:r w:rsidRPr="00E70A0B">
        <w:rPr>
          <w:rFonts w:ascii="Calibri" w:eastAsia="Calibri" w:hAnsi="Calibri" w:cs="Times New Roman"/>
          <w:color w:val="595959" w:themeColor="text1" w:themeTint="A6"/>
          <w:sz w:val="16"/>
          <w:szCs w:val="20"/>
        </w:rPr>
        <w:t>,</w:t>
      </w:r>
      <w:r>
        <w:rPr>
          <w:rFonts w:ascii="Calibri" w:eastAsia="Calibri" w:hAnsi="Calibri" w:cs="Times New Roman"/>
          <w:color w:val="595959" w:themeColor="text1" w:themeTint="A6"/>
          <w:sz w:val="16"/>
          <w:szCs w:val="20"/>
        </w:rPr>
        <w:t>8</w:t>
      </w:r>
      <w:r w:rsidRPr="00E70A0B">
        <w:rPr>
          <w:rFonts w:ascii="Calibri" w:eastAsia="Calibri" w:hAnsi="Calibri" w:cs="Times New Roman"/>
          <w:color w:val="595959" w:themeColor="text1" w:themeTint="A6"/>
          <w:sz w:val="16"/>
          <w:szCs w:val="20"/>
        </w:rPr>
        <w:t xml:space="preserve"> και 0,4 ποσοστιαίες μονάδες αντίστοιχα (οι δαπάνες για δημόσια τάξη &amp; ασφάλεια </w:t>
      </w:r>
      <w:r>
        <w:rPr>
          <w:rFonts w:ascii="Calibri" w:eastAsia="Calibri" w:hAnsi="Calibri" w:cs="Times New Roman"/>
          <w:color w:val="595959" w:themeColor="text1" w:themeTint="A6"/>
          <w:sz w:val="16"/>
          <w:szCs w:val="20"/>
        </w:rPr>
        <w:t>ανέρχονται σε</w:t>
      </w:r>
      <w:r w:rsidRPr="00E70A0B">
        <w:rPr>
          <w:rFonts w:ascii="Calibri" w:eastAsia="Calibri" w:hAnsi="Calibri" w:cs="Times New Roman"/>
          <w:color w:val="595959" w:themeColor="text1" w:themeTint="A6"/>
          <w:sz w:val="16"/>
          <w:szCs w:val="20"/>
        </w:rPr>
        <w:t xml:space="preserve"> 2,1% του ΑΕΠ στην Ελλάδα και </w:t>
      </w:r>
      <w:r>
        <w:rPr>
          <w:rFonts w:ascii="Calibri" w:eastAsia="Calibri" w:hAnsi="Calibri" w:cs="Times New Roman"/>
          <w:color w:val="595959" w:themeColor="text1" w:themeTint="A6"/>
          <w:sz w:val="16"/>
          <w:szCs w:val="20"/>
        </w:rPr>
        <w:t xml:space="preserve">σε </w:t>
      </w:r>
      <w:r w:rsidRPr="00E70A0B">
        <w:rPr>
          <w:rFonts w:ascii="Calibri" w:eastAsia="Calibri" w:hAnsi="Calibri" w:cs="Times New Roman"/>
          <w:color w:val="595959" w:themeColor="text1" w:themeTint="A6"/>
          <w:sz w:val="16"/>
          <w:szCs w:val="20"/>
        </w:rPr>
        <w:t xml:space="preserve">1,7% στην Ευρωζώνη, ενώ οι δαπάνες για άμυνα </w:t>
      </w:r>
      <w:r>
        <w:rPr>
          <w:rFonts w:ascii="Calibri" w:eastAsia="Calibri" w:hAnsi="Calibri" w:cs="Times New Roman"/>
          <w:color w:val="595959" w:themeColor="text1" w:themeTint="A6"/>
          <w:sz w:val="16"/>
          <w:szCs w:val="20"/>
        </w:rPr>
        <w:t>σε 2,0</w:t>
      </w:r>
      <w:r w:rsidRPr="00E70A0B">
        <w:rPr>
          <w:rFonts w:ascii="Calibri" w:eastAsia="Calibri" w:hAnsi="Calibri" w:cs="Times New Roman"/>
          <w:color w:val="595959" w:themeColor="text1" w:themeTint="A6"/>
          <w:sz w:val="16"/>
          <w:szCs w:val="20"/>
        </w:rPr>
        <w:t>% του ΑΕΠ στην Ελλάδα και 1,2% στην Ευρωζώνη).</w:t>
      </w:r>
    </w:p>
  </w:footnote>
  <w:footnote w:id="21">
    <w:p w14:paraId="1BC5361E" w14:textId="77777777" w:rsidR="00AE505C" w:rsidRPr="00E70A0B" w:rsidRDefault="00AE505C" w:rsidP="008E2A0E">
      <w:pPr>
        <w:pStyle w:val="a4"/>
        <w:spacing w:line="276" w:lineRule="auto"/>
        <w:rPr>
          <w:color w:val="595959" w:themeColor="text1" w:themeTint="A6"/>
        </w:rPr>
      </w:pPr>
      <w:r w:rsidRPr="00E70A0B">
        <w:rPr>
          <w:color w:val="595959" w:themeColor="text1" w:themeTint="A6"/>
          <w:vertAlign w:val="superscript"/>
        </w:rPr>
        <w:footnoteRef/>
      </w:r>
      <w:r w:rsidRPr="00E70A0B">
        <w:rPr>
          <w:color w:val="595959" w:themeColor="text1" w:themeTint="A6"/>
          <w:vertAlign w:val="superscript"/>
        </w:rPr>
        <w:t xml:space="preserve"> </w:t>
      </w:r>
      <w:r w:rsidRPr="00E70A0B">
        <w:rPr>
          <w:color w:val="595959" w:themeColor="text1" w:themeTint="A6"/>
        </w:rPr>
        <w:t xml:space="preserve">Οι δαπάνες για γενικές δημόσιες υπηρεσίες μειώνονται </w:t>
      </w:r>
      <w:r>
        <w:rPr>
          <w:color w:val="595959" w:themeColor="text1" w:themeTint="A6"/>
        </w:rPr>
        <w:t>από το 2011 και μετά</w:t>
      </w:r>
      <w:r w:rsidRPr="00E70A0B">
        <w:rPr>
          <w:color w:val="595959" w:themeColor="text1" w:themeTint="A6"/>
        </w:rPr>
        <w:t xml:space="preserve"> (</w:t>
      </w:r>
      <w:r>
        <w:rPr>
          <w:color w:val="595959" w:themeColor="text1" w:themeTint="A6"/>
        </w:rPr>
        <w:t>13</w:t>
      </w:r>
      <w:r w:rsidRPr="00E70A0B">
        <w:rPr>
          <w:color w:val="595959" w:themeColor="text1" w:themeTint="A6"/>
        </w:rPr>
        <w:t>,</w:t>
      </w:r>
      <w:r>
        <w:rPr>
          <w:color w:val="595959" w:themeColor="text1" w:themeTint="A6"/>
        </w:rPr>
        <w:t>1</w:t>
      </w:r>
      <w:r w:rsidRPr="00E70A0B">
        <w:rPr>
          <w:color w:val="595959" w:themeColor="text1" w:themeTint="A6"/>
        </w:rPr>
        <w:t>% του ΑΕΠ το 201</w:t>
      </w:r>
      <w:r>
        <w:rPr>
          <w:color w:val="595959" w:themeColor="text1" w:themeTint="A6"/>
        </w:rPr>
        <w:t>1 και 7,9% το 2019</w:t>
      </w:r>
      <w:r w:rsidRPr="00E70A0B">
        <w:rPr>
          <w:color w:val="595959" w:themeColor="text1" w:themeTint="A6"/>
        </w:rPr>
        <w:t>), ενώ οι δαπάνες για δημόσια τάξη &amp; ασφάλεια εμφανί</w:t>
      </w:r>
      <w:r>
        <w:rPr>
          <w:color w:val="595959" w:themeColor="text1" w:themeTint="A6"/>
        </w:rPr>
        <w:t>ζουν μικρή ανοδική τάση (από 1,8% του ΑΕΠ το 2011</w:t>
      </w:r>
      <w:r w:rsidRPr="00E70A0B">
        <w:rPr>
          <w:color w:val="595959" w:themeColor="text1" w:themeTint="A6"/>
        </w:rPr>
        <w:t xml:space="preserve"> </w:t>
      </w:r>
      <w:r>
        <w:rPr>
          <w:color w:val="595959" w:themeColor="text1" w:themeTint="A6"/>
        </w:rPr>
        <w:t>σε 2,1% το 2019</w:t>
      </w:r>
      <w:r w:rsidRPr="00E70A0B">
        <w:rPr>
          <w:color w:val="595959" w:themeColor="text1" w:themeTint="A6"/>
        </w:rPr>
        <w:t>).</w:t>
      </w:r>
      <w:r>
        <w:rPr>
          <w:color w:val="595959" w:themeColor="text1" w:themeTint="A6"/>
        </w:rPr>
        <w:t xml:space="preserve"> Οι δαπάνες για άμυνα εμφανίζουν ανοδική τάση από το 2011 (2,4% του ΑΕΠ) μέχρι το 2014 (2,7% του ΑΕΠ) και πτωτική τάση στη συνέχεια (2,0% του ΑΕΠ το 2019). Αθροιστικά, οι παραπάνω δαπάνες ακολουθούν μια πτωτική τάση σε όλο το διάστημα 2011-2019.</w:t>
      </w:r>
    </w:p>
  </w:footnote>
  <w:footnote w:id="22">
    <w:p w14:paraId="77B9D6F7" w14:textId="77777777" w:rsidR="00AE505C" w:rsidRPr="00C648E1" w:rsidRDefault="00AE505C" w:rsidP="008E2A0E">
      <w:pPr>
        <w:pStyle w:val="a4"/>
        <w:shd w:val="clear" w:color="auto" w:fill="FFFFFF" w:themeFill="background1"/>
        <w:spacing w:line="276" w:lineRule="auto"/>
        <w:ind w:left="142" w:hanging="142"/>
        <w:rPr>
          <w:color w:val="595959"/>
          <w:szCs w:val="16"/>
        </w:rPr>
      </w:pPr>
      <w:r w:rsidRPr="00032FA8">
        <w:rPr>
          <w:color w:val="595959"/>
          <w:szCs w:val="16"/>
          <w:vertAlign w:val="superscript"/>
        </w:rPr>
        <w:footnoteRef/>
      </w:r>
      <w:r w:rsidRPr="00032FA8">
        <w:rPr>
          <w:color w:val="595959"/>
          <w:szCs w:val="16"/>
        </w:rPr>
        <w:t xml:space="preserve"> </w:t>
      </w:r>
      <w:r w:rsidRPr="00032FA8">
        <w:rPr>
          <w:color w:val="595959"/>
          <w:szCs w:val="16"/>
        </w:rPr>
        <w:tab/>
      </w:r>
      <w:r w:rsidRPr="00032FA8">
        <w:rPr>
          <w:color w:val="595959"/>
          <w:szCs w:val="16"/>
        </w:rPr>
        <w:t>Τα στοιχεία αφορούν σε εντός ισολογισμού δάνεια (προ προβλέψεων) των Ελληνικών εμπορικών και συνεταιριστικών τραπεζών που λειτουργούσαν στην υπό μελέτη περίοδο. Στα μη εξυπηρετούμενα δάνεια (ΜΕΔ) περιλαμβάνονται δάνεια με καθυστέρηση μεγαλύτερη των 90 ημερών και δάνεια αβέβαιης είσπραξης χωρίς τη ρευστοποίηση εξασφάλισης, ανεξαρτήτως ημερών καθυστέρησης. Δεν περιλαμβάνονται “ανοίγματα” σε χρεωστικά μέσα εκτός δανείων ούτε στοιχεία εκτός ισολογισμού (π.χ. εγγυητικές επιστολές).</w:t>
      </w:r>
      <w:r w:rsidRPr="00F31D82">
        <w:rPr>
          <w:color w:val="595959"/>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color w:val="2F5496" w:themeColor="accent1" w:themeShade="BF"/>
        <w:sz w:val="24"/>
        <w:szCs w:val="24"/>
      </w:rPr>
      <w:alias w:val="Τίτλος"/>
      <w:id w:val="-1367982452"/>
      <w:dataBinding w:prefixMappings="xmlns:ns0='http://schemas.openxmlformats.org/package/2006/metadata/core-properties' xmlns:ns1='http://purl.org/dc/elements/1.1/'" w:xpath="/ns0:coreProperties[1]/ns1:title[1]" w:storeItemID="{6C3C8BC8-F283-45AE-878A-BAB7291924A1}"/>
      <w:text/>
    </w:sdtPr>
    <w:sdtContent>
      <w:p w14:paraId="516DB5C0" w14:textId="77777777" w:rsidR="00AE505C" w:rsidRPr="008E0238" w:rsidRDefault="00AE505C">
        <w:pPr>
          <w:pStyle w:val="a7"/>
          <w:rPr>
            <w:rFonts w:eastAsiaTheme="majorEastAsia" w:cstheme="majorBidi"/>
            <w:color w:val="2F5496" w:themeColor="accent1" w:themeShade="BF"/>
            <w:sz w:val="24"/>
            <w:szCs w:val="24"/>
          </w:rPr>
        </w:pPr>
        <w:r>
          <w:rPr>
            <w:rFonts w:eastAsiaTheme="majorEastAsia" w:cstheme="majorBidi"/>
            <w:color w:val="2F5496" w:themeColor="accent1" w:themeShade="BF"/>
            <w:sz w:val="24"/>
            <w:szCs w:val="24"/>
          </w:rPr>
          <w:t>Έκθεση Δ τριμήνου 2020</w:t>
        </w:r>
      </w:p>
    </w:sdtContent>
  </w:sdt>
  <w:p w14:paraId="78E25FB0" w14:textId="77777777" w:rsidR="00AE505C" w:rsidRDefault="00AE505C">
    <w:pPr>
      <w:pStyle w:val="a7"/>
    </w:pPr>
    <w:r>
      <w:rPr>
        <w:rFonts w:asciiTheme="majorHAnsi" w:eastAsiaTheme="majorEastAsia" w:hAnsiTheme="majorHAnsi" w:cstheme="majorBidi"/>
        <w:noProof/>
        <w:lang w:eastAsia="el-GR"/>
      </w:rPr>
      <mc:AlternateContent>
        <mc:Choice Requires="wpg">
          <w:drawing>
            <wp:anchor distT="0" distB="0" distL="114300" distR="114300" simplePos="0" relativeHeight="251661312" behindDoc="0" locked="0" layoutInCell="1" allowOverlap="1" wp14:anchorId="3A7096AF" wp14:editId="0C517817">
              <wp:simplePos x="0" y="0"/>
              <wp:positionH relativeFrom="page">
                <wp:align>center</wp:align>
              </wp:positionH>
              <wp:positionV relativeFrom="page">
                <wp:align>top</wp:align>
              </wp:positionV>
              <wp:extent cx="10047605" cy="914400"/>
              <wp:effectExtent l="0" t="0" r="2540" b="0"/>
              <wp:wrapNone/>
              <wp:docPr id="17" name="Ομάδα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18"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4B021A" id="Ομάδα 194"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" strokecolor="#31849b"/>
              <v:rect id="Rectangle 18"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page" anchory="page"/>
            </v:group>
          </w:pict>
        </mc:Fallback>
      </mc:AlternateContent>
    </w:r>
    <w:r>
      <w:rPr>
        <w:rFonts w:asciiTheme="majorHAnsi" w:eastAsiaTheme="majorEastAsia" w:hAnsiTheme="majorHAnsi" w:cstheme="majorBidi"/>
        <w:noProof/>
        <w:lang w:eastAsia="el-GR"/>
      </w:rPr>
      <mc:AlternateContent>
        <mc:Choice Requires="wps">
          <w:drawing>
            <wp:anchor distT="0" distB="0" distL="114300" distR="114300" simplePos="0" relativeHeight="251653120" behindDoc="0" locked="0" layoutInCell="1" allowOverlap="1" wp14:anchorId="2C78CCE5" wp14:editId="31592C0F">
              <wp:simplePos x="0" y="0"/>
              <wp:positionH relativeFrom="rightMargin">
                <wp:align>center</wp:align>
              </wp:positionH>
              <wp:positionV relativeFrom="page">
                <wp:align>top</wp:align>
              </wp:positionV>
              <wp:extent cx="90805" cy="822960"/>
              <wp:effectExtent l="0" t="0" r="4445" b="0"/>
              <wp:wrapNone/>
              <wp:docPr id="19" name="Ορθογώνιο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648D0C" id="Ορθογώνιο 200" o:spid="_x0000_s1026" style="position:absolute;margin-left:0;margin-top:0;width:7.15pt;height:64.8pt;z-index:25165312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" fillcolor="#5b9bd5 [3208]" strokecolor="#4472c4 [3204]">
              <w10:wrap anchorx="margin" anchory="page"/>
            </v:rect>
          </w:pict>
        </mc:Fallback>
      </mc:AlternateContent>
    </w:r>
    <w:r>
      <w:rPr>
        <w:rFonts w:asciiTheme="majorHAnsi" w:eastAsiaTheme="majorEastAsia" w:hAnsiTheme="majorHAnsi" w:cstheme="majorBidi"/>
        <w:noProof/>
        <w:lang w:eastAsia="el-GR"/>
      </w:rPr>
      <mc:AlternateContent>
        <mc:Choice Requires="wps">
          <w:drawing>
            <wp:anchor distT="0" distB="0" distL="114300" distR="114300" simplePos="0" relativeHeight="251649024" behindDoc="0" locked="0" layoutInCell="1" allowOverlap="1" wp14:anchorId="44FBFE23" wp14:editId="12515185">
              <wp:simplePos x="0" y="0"/>
              <wp:positionH relativeFrom="leftMargin">
                <wp:align>center</wp:align>
              </wp:positionH>
              <wp:positionV relativeFrom="page">
                <wp:align>top</wp:align>
              </wp:positionV>
              <wp:extent cx="90805" cy="822960"/>
              <wp:effectExtent l="0" t="0" r="4445" b="0"/>
              <wp:wrapNone/>
              <wp:docPr id="20" name="Ορθογώνιο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A617BE" id="Ορθογώνιο 202" o:spid="_x0000_s1026" style="position:absolute;margin-left:0;margin-top:0;width:7.15pt;height:64.8pt;z-index:25164902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" fillcolor="#5b9bd5 [3208]" strokecolor="#4472c4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F5496" w:themeColor="accent1" w:themeShade="BF"/>
        <w:sz w:val="24"/>
        <w:szCs w:val="24"/>
        <w:lang w:val="en-US"/>
      </w:rPr>
      <w:alias w:val="Title"/>
      <w:id w:val="-579441556"/>
      <w:dataBinding w:prefixMappings="xmlns:ns0='http://schemas.openxmlformats.org/package/2006/metadata/core-properties' xmlns:ns1='http://purl.org/dc/elements/1.1/'" w:xpath="/ns0:coreProperties[1]/ns1:title[1]" w:storeItemID="{6C3C8BC8-F283-45AE-878A-BAB7291924A1}"/>
      <w:text/>
    </w:sdtPr>
    <w:sdtContent>
      <w:p w14:paraId="393DE7E5" w14:textId="77777777" w:rsidR="00AE505C" w:rsidRPr="00687A3C" w:rsidRDefault="00AE505C">
        <w:pPr>
          <w:pStyle w:val="a7"/>
          <w:pBdr>
            <w:between w:val="single" w:sz="4" w:space="1" w:color="4472C4" w:themeColor="accent1"/>
          </w:pBdr>
          <w:spacing w:line="276" w:lineRule="auto"/>
          <w:jc w:val="center"/>
          <w:rPr>
            <w:color w:val="2F5496" w:themeColor="accent1" w:themeShade="BF"/>
            <w:sz w:val="24"/>
            <w:szCs w:val="24"/>
            <w:lang w:val="en-US"/>
          </w:rPr>
        </w:pPr>
        <w:proofErr w:type="spellStart"/>
        <w:r>
          <w:rPr>
            <w:color w:val="2F5496" w:themeColor="accent1" w:themeShade="BF"/>
            <w:sz w:val="24"/>
            <w:szCs w:val="24"/>
            <w:lang w:val="en-US"/>
          </w:rPr>
          <w:t>Έκθεση</w:t>
        </w:r>
        <w:proofErr w:type="spellEnd"/>
        <w:r>
          <w:rPr>
            <w:color w:val="2F5496" w:themeColor="accent1" w:themeShade="BF"/>
            <w:sz w:val="24"/>
            <w:szCs w:val="24"/>
            <w:lang w:val="en-US"/>
          </w:rPr>
          <w:t xml:space="preserve"> </w:t>
        </w:r>
        <w:r>
          <w:rPr>
            <w:color w:val="2F5496" w:themeColor="accent1" w:themeShade="BF"/>
            <w:sz w:val="24"/>
            <w:szCs w:val="24"/>
          </w:rPr>
          <w:t>Δ</w:t>
        </w:r>
        <w:r>
          <w:rPr>
            <w:color w:val="2F5496" w:themeColor="accent1" w:themeShade="BF"/>
            <w:sz w:val="24"/>
            <w:szCs w:val="24"/>
            <w:lang w:val="en-US"/>
          </w:rPr>
          <w:t xml:space="preserve"> </w:t>
        </w:r>
        <w:r>
          <w:rPr>
            <w:color w:val="2F5496" w:themeColor="accent1" w:themeShade="BF"/>
            <w:sz w:val="24"/>
            <w:szCs w:val="24"/>
          </w:rPr>
          <w:t>τ</w:t>
        </w:r>
        <w:proofErr w:type="spellStart"/>
        <w:r>
          <w:rPr>
            <w:color w:val="2F5496" w:themeColor="accent1" w:themeShade="BF"/>
            <w:sz w:val="24"/>
            <w:szCs w:val="24"/>
            <w:lang w:val="en-US"/>
          </w:rPr>
          <w:t>ριμήνου</w:t>
        </w:r>
        <w:proofErr w:type="spellEnd"/>
        <w:r>
          <w:rPr>
            <w:color w:val="2F5496" w:themeColor="accent1" w:themeShade="BF"/>
            <w:sz w:val="24"/>
            <w:szCs w:val="24"/>
            <w:lang w:val="en-US"/>
          </w:rPr>
          <w:t xml:space="preserve"> 20</w:t>
        </w:r>
        <w:r>
          <w:rPr>
            <w:color w:val="2F5496" w:themeColor="accent1" w:themeShade="BF"/>
            <w:sz w:val="24"/>
            <w:szCs w:val="24"/>
          </w:rPr>
          <w:t>20</w:t>
        </w:r>
      </w:p>
    </w:sdtContent>
  </w:sdt>
  <w:p w14:paraId="16F613DC" w14:textId="77777777" w:rsidR="00AE505C" w:rsidRPr="00687A3C" w:rsidRDefault="00AE505C">
    <w:pPr>
      <w:pStyle w:val="a7"/>
      <w:pBdr>
        <w:between w:val="single" w:sz="4" w:space="1" w:color="4472C4" w:themeColor="accent1"/>
      </w:pBdr>
      <w:spacing w:line="276" w:lineRule="auto"/>
      <w:jc w:val="center"/>
      <w:rPr>
        <w:lang w:val="en-US"/>
      </w:rPr>
    </w:pPr>
  </w:p>
  <w:p w14:paraId="7964A653" w14:textId="77777777" w:rsidR="00AE505C" w:rsidRPr="00687A3C" w:rsidRDefault="00AE505C">
    <w:pPr>
      <w:pStyle w:val="a7"/>
      <w:rPr>
        <w:color w:val="2F5496" w:themeColor="accent1" w:themeShade="BF"/>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02CFB"/>
    <w:multiLevelType w:val="hybridMultilevel"/>
    <w:tmpl w:val="AD1E017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F76145"/>
    <w:multiLevelType w:val="hybridMultilevel"/>
    <w:tmpl w:val="9F341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320E"/>
    <w:multiLevelType w:val="hybridMultilevel"/>
    <w:tmpl w:val="A7167E3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6892111"/>
    <w:multiLevelType w:val="hybridMultilevel"/>
    <w:tmpl w:val="64103A9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0CF2CA0"/>
    <w:multiLevelType w:val="hybridMultilevel"/>
    <w:tmpl w:val="78C0F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FB30267"/>
    <w:multiLevelType w:val="hybridMultilevel"/>
    <w:tmpl w:val="9EB077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60E452C"/>
    <w:multiLevelType w:val="hybridMultilevel"/>
    <w:tmpl w:val="C834F3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28744EE"/>
    <w:multiLevelType w:val="hybridMultilevel"/>
    <w:tmpl w:val="2F647E80"/>
    <w:lvl w:ilvl="0" w:tplc="0408000B">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9CA3E50"/>
    <w:multiLevelType w:val="hybridMultilevel"/>
    <w:tmpl w:val="772656CE"/>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9" w15:restartNumberingAfterBreak="0">
    <w:nsid w:val="723C39BA"/>
    <w:multiLevelType w:val="hybridMultilevel"/>
    <w:tmpl w:val="82F8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805746"/>
    <w:multiLevelType w:val="multilevel"/>
    <w:tmpl w:val="E4C4B6F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4238AC"/>
    <w:multiLevelType w:val="hybridMultilevel"/>
    <w:tmpl w:val="B478F67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1"/>
  </w:num>
  <w:num w:numId="2">
    <w:abstractNumId w:val="8"/>
  </w:num>
  <w:num w:numId="3">
    <w:abstractNumId w:val="3"/>
  </w:num>
  <w:num w:numId="4">
    <w:abstractNumId w:val="4"/>
  </w:num>
  <w:num w:numId="5">
    <w:abstractNumId w:val="5"/>
  </w:num>
  <w:num w:numId="6">
    <w:abstractNumId w:val="2"/>
  </w:num>
  <w:num w:numId="7">
    <w:abstractNumId w:val="11"/>
  </w:num>
  <w:num w:numId="8">
    <w:abstractNumId w:val="10"/>
  </w:num>
  <w:num w:numId="9">
    <w:abstractNumId w:val="6"/>
  </w:num>
  <w:num w:numId="10">
    <w:abstractNumId w:val="7"/>
  </w:num>
  <w:num w:numId="11">
    <w:abstractNumId w:val="0"/>
  </w:num>
  <w:num w:numId="1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E3C"/>
    <w:rsid w:val="00000181"/>
    <w:rsid w:val="000006A5"/>
    <w:rsid w:val="00000A81"/>
    <w:rsid w:val="0000125E"/>
    <w:rsid w:val="000013B9"/>
    <w:rsid w:val="000014FD"/>
    <w:rsid w:val="00001587"/>
    <w:rsid w:val="00002BB0"/>
    <w:rsid w:val="000032E8"/>
    <w:rsid w:val="00003592"/>
    <w:rsid w:val="0000373F"/>
    <w:rsid w:val="00003CD4"/>
    <w:rsid w:val="00003F86"/>
    <w:rsid w:val="000040A4"/>
    <w:rsid w:val="00004918"/>
    <w:rsid w:val="00004C1E"/>
    <w:rsid w:val="00004C5C"/>
    <w:rsid w:val="00004FDF"/>
    <w:rsid w:val="0000528D"/>
    <w:rsid w:val="00005875"/>
    <w:rsid w:val="00005A8A"/>
    <w:rsid w:val="00005D56"/>
    <w:rsid w:val="0000649B"/>
    <w:rsid w:val="00007A35"/>
    <w:rsid w:val="000105FB"/>
    <w:rsid w:val="000108A4"/>
    <w:rsid w:val="00010A7E"/>
    <w:rsid w:val="00010C84"/>
    <w:rsid w:val="00010CE5"/>
    <w:rsid w:val="0001141E"/>
    <w:rsid w:val="00011628"/>
    <w:rsid w:val="00012DE1"/>
    <w:rsid w:val="00013055"/>
    <w:rsid w:val="0001308D"/>
    <w:rsid w:val="00013658"/>
    <w:rsid w:val="00013A99"/>
    <w:rsid w:val="00013ADF"/>
    <w:rsid w:val="00013D12"/>
    <w:rsid w:val="00013D9B"/>
    <w:rsid w:val="00014251"/>
    <w:rsid w:val="000144F7"/>
    <w:rsid w:val="00014A80"/>
    <w:rsid w:val="00014FD4"/>
    <w:rsid w:val="00015025"/>
    <w:rsid w:val="00015B4C"/>
    <w:rsid w:val="00015FA3"/>
    <w:rsid w:val="00016077"/>
    <w:rsid w:val="000165CF"/>
    <w:rsid w:val="000168BE"/>
    <w:rsid w:val="000168FC"/>
    <w:rsid w:val="00016CEC"/>
    <w:rsid w:val="000173BE"/>
    <w:rsid w:val="00017DD1"/>
    <w:rsid w:val="00017E42"/>
    <w:rsid w:val="00020136"/>
    <w:rsid w:val="0002023E"/>
    <w:rsid w:val="000204D7"/>
    <w:rsid w:val="000207E6"/>
    <w:rsid w:val="00020A0E"/>
    <w:rsid w:val="00021141"/>
    <w:rsid w:val="00021227"/>
    <w:rsid w:val="00022045"/>
    <w:rsid w:val="000222F8"/>
    <w:rsid w:val="00022363"/>
    <w:rsid w:val="00022C5B"/>
    <w:rsid w:val="00023080"/>
    <w:rsid w:val="00023A43"/>
    <w:rsid w:val="00023CBC"/>
    <w:rsid w:val="000242E0"/>
    <w:rsid w:val="00024C69"/>
    <w:rsid w:val="000256A9"/>
    <w:rsid w:val="00025B1C"/>
    <w:rsid w:val="000265D2"/>
    <w:rsid w:val="00026C37"/>
    <w:rsid w:val="00026DCC"/>
    <w:rsid w:val="0002717A"/>
    <w:rsid w:val="0002744F"/>
    <w:rsid w:val="00031544"/>
    <w:rsid w:val="00031608"/>
    <w:rsid w:val="000319F3"/>
    <w:rsid w:val="00031C30"/>
    <w:rsid w:val="00031CBB"/>
    <w:rsid w:val="000324F3"/>
    <w:rsid w:val="00032E06"/>
    <w:rsid w:val="00032FA8"/>
    <w:rsid w:val="00033191"/>
    <w:rsid w:val="00033385"/>
    <w:rsid w:val="00033640"/>
    <w:rsid w:val="00033853"/>
    <w:rsid w:val="00033EEE"/>
    <w:rsid w:val="0003449F"/>
    <w:rsid w:val="000347ED"/>
    <w:rsid w:val="00035914"/>
    <w:rsid w:val="00035CDB"/>
    <w:rsid w:val="000364B6"/>
    <w:rsid w:val="000364D7"/>
    <w:rsid w:val="000368D0"/>
    <w:rsid w:val="000374AC"/>
    <w:rsid w:val="00037D1E"/>
    <w:rsid w:val="00037EF0"/>
    <w:rsid w:val="000401BB"/>
    <w:rsid w:val="00040325"/>
    <w:rsid w:val="0004054B"/>
    <w:rsid w:val="0004056C"/>
    <w:rsid w:val="000405AC"/>
    <w:rsid w:val="000408E8"/>
    <w:rsid w:val="00040D03"/>
    <w:rsid w:val="00040E15"/>
    <w:rsid w:val="00040F76"/>
    <w:rsid w:val="00041210"/>
    <w:rsid w:val="00041392"/>
    <w:rsid w:val="00041436"/>
    <w:rsid w:val="000414A4"/>
    <w:rsid w:val="0004151E"/>
    <w:rsid w:val="00041E17"/>
    <w:rsid w:val="00041E32"/>
    <w:rsid w:val="00041F01"/>
    <w:rsid w:val="000425A8"/>
    <w:rsid w:val="00042699"/>
    <w:rsid w:val="00043103"/>
    <w:rsid w:val="00043349"/>
    <w:rsid w:val="00043D37"/>
    <w:rsid w:val="00043DE8"/>
    <w:rsid w:val="00043E87"/>
    <w:rsid w:val="00045212"/>
    <w:rsid w:val="00045386"/>
    <w:rsid w:val="00045F79"/>
    <w:rsid w:val="00046348"/>
    <w:rsid w:val="00046C82"/>
    <w:rsid w:val="00046E76"/>
    <w:rsid w:val="000472E1"/>
    <w:rsid w:val="000475BD"/>
    <w:rsid w:val="00047D6E"/>
    <w:rsid w:val="00047E1C"/>
    <w:rsid w:val="000502B2"/>
    <w:rsid w:val="000504C2"/>
    <w:rsid w:val="00050A28"/>
    <w:rsid w:val="0005142D"/>
    <w:rsid w:val="000514E2"/>
    <w:rsid w:val="000515BC"/>
    <w:rsid w:val="00051BC6"/>
    <w:rsid w:val="00052160"/>
    <w:rsid w:val="00052B70"/>
    <w:rsid w:val="00052CD5"/>
    <w:rsid w:val="0005301A"/>
    <w:rsid w:val="00053047"/>
    <w:rsid w:val="000538EE"/>
    <w:rsid w:val="00053B1B"/>
    <w:rsid w:val="00053CCF"/>
    <w:rsid w:val="0005404C"/>
    <w:rsid w:val="00054711"/>
    <w:rsid w:val="00054766"/>
    <w:rsid w:val="000547C8"/>
    <w:rsid w:val="000549D6"/>
    <w:rsid w:val="00054D70"/>
    <w:rsid w:val="00055979"/>
    <w:rsid w:val="00055DC0"/>
    <w:rsid w:val="000560F8"/>
    <w:rsid w:val="00056B8B"/>
    <w:rsid w:val="00057825"/>
    <w:rsid w:val="00057B99"/>
    <w:rsid w:val="00057D7C"/>
    <w:rsid w:val="00060947"/>
    <w:rsid w:val="00060D99"/>
    <w:rsid w:val="00060E48"/>
    <w:rsid w:val="00061754"/>
    <w:rsid w:val="00061964"/>
    <w:rsid w:val="00061D1B"/>
    <w:rsid w:val="0006238F"/>
    <w:rsid w:val="000624F7"/>
    <w:rsid w:val="00062F57"/>
    <w:rsid w:val="000630FE"/>
    <w:rsid w:val="00063109"/>
    <w:rsid w:val="000631F7"/>
    <w:rsid w:val="0006346A"/>
    <w:rsid w:val="000634ED"/>
    <w:rsid w:val="00063A92"/>
    <w:rsid w:val="00063F29"/>
    <w:rsid w:val="0006419E"/>
    <w:rsid w:val="00064247"/>
    <w:rsid w:val="00064299"/>
    <w:rsid w:val="00064E3C"/>
    <w:rsid w:val="000653A2"/>
    <w:rsid w:val="0006581D"/>
    <w:rsid w:val="00065945"/>
    <w:rsid w:val="00065A82"/>
    <w:rsid w:val="00065C74"/>
    <w:rsid w:val="00065E10"/>
    <w:rsid w:val="000676DC"/>
    <w:rsid w:val="00067752"/>
    <w:rsid w:val="00067828"/>
    <w:rsid w:val="00067880"/>
    <w:rsid w:val="00067ACA"/>
    <w:rsid w:val="00067C96"/>
    <w:rsid w:val="000702B8"/>
    <w:rsid w:val="000709CB"/>
    <w:rsid w:val="00070D8E"/>
    <w:rsid w:val="00070EB5"/>
    <w:rsid w:val="0007112D"/>
    <w:rsid w:val="0007119A"/>
    <w:rsid w:val="00071618"/>
    <w:rsid w:val="000717AC"/>
    <w:rsid w:val="000721FD"/>
    <w:rsid w:val="000727DC"/>
    <w:rsid w:val="00073302"/>
    <w:rsid w:val="000734CA"/>
    <w:rsid w:val="00073803"/>
    <w:rsid w:val="00073871"/>
    <w:rsid w:val="000739F3"/>
    <w:rsid w:val="00073A66"/>
    <w:rsid w:val="00073FB8"/>
    <w:rsid w:val="0007433D"/>
    <w:rsid w:val="000746F4"/>
    <w:rsid w:val="00074821"/>
    <w:rsid w:val="00075455"/>
    <w:rsid w:val="000754FF"/>
    <w:rsid w:val="000759EA"/>
    <w:rsid w:val="0007656B"/>
    <w:rsid w:val="00076F9D"/>
    <w:rsid w:val="0007771B"/>
    <w:rsid w:val="00077763"/>
    <w:rsid w:val="00077873"/>
    <w:rsid w:val="00077D52"/>
    <w:rsid w:val="00077FF8"/>
    <w:rsid w:val="00080391"/>
    <w:rsid w:val="000803A9"/>
    <w:rsid w:val="00080DC6"/>
    <w:rsid w:val="000814D9"/>
    <w:rsid w:val="00082EFE"/>
    <w:rsid w:val="00083354"/>
    <w:rsid w:val="000836AD"/>
    <w:rsid w:val="0008377D"/>
    <w:rsid w:val="00083804"/>
    <w:rsid w:val="00083837"/>
    <w:rsid w:val="00083D9D"/>
    <w:rsid w:val="00083EFC"/>
    <w:rsid w:val="00084728"/>
    <w:rsid w:val="00084806"/>
    <w:rsid w:val="00084A05"/>
    <w:rsid w:val="00084B60"/>
    <w:rsid w:val="00084C7C"/>
    <w:rsid w:val="00084CC5"/>
    <w:rsid w:val="00084DE8"/>
    <w:rsid w:val="00084E43"/>
    <w:rsid w:val="000850E7"/>
    <w:rsid w:val="0008564C"/>
    <w:rsid w:val="000856A8"/>
    <w:rsid w:val="000857D8"/>
    <w:rsid w:val="0008580D"/>
    <w:rsid w:val="000860DC"/>
    <w:rsid w:val="00086115"/>
    <w:rsid w:val="000861AC"/>
    <w:rsid w:val="000863CA"/>
    <w:rsid w:val="00086680"/>
    <w:rsid w:val="00086BF9"/>
    <w:rsid w:val="0008760D"/>
    <w:rsid w:val="00087791"/>
    <w:rsid w:val="000878C0"/>
    <w:rsid w:val="00087C90"/>
    <w:rsid w:val="00087E0E"/>
    <w:rsid w:val="00090463"/>
    <w:rsid w:val="00090618"/>
    <w:rsid w:val="00090941"/>
    <w:rsid w:val="000914FD"/>
    <w:rsid w:val="0009162B"/>
    <w:rsid w:val="0009167B"/>
    <w:rsid w:val="00091821"/>
    <w:rsid w:val="00091A48"/>
    <w:rsid w:val="00091CA8"/>
    <w:rsid w:val="00091CB0"/>
    <w:rsid w:val="000927FF"/>
    <w:rsid w:val="0009285B"/>
    <w:rsid w:val="00092A1E"/>
    <w:rsid w:val="00093C59"/>
    <w:rsid w:val="000941B7"/>
    <w:rsid w:val="0009448B"/>
    <w:rsid w:val="00094AF8"/>
    <w:rsid w:val="00094E68"/>
    <w:rsid w:val="000952AD"/>
    <w:rsid w:val="000961FB"/>
    <w:rsid w:val="00096DCE"/>
    <w:rsid w:val="00097113"/>
    <w:rsid w:val="00097264"/>
    <w:rsid w:val="000973AE"/>
    <w:rsid w:val="00097A40"/>
    <w:rsid w:val="00097E2B"/>
    <w:rsid w:val="000A0BED"/>
    <w:rsid w:val="000A0D56"/>
    <w:rsid w:val="000A1225"/>
    <w:rsid w:val="000A19A2"/>
    <w:rsid w:val="000A2374"/>
    <w:rsid w:val="000A246F"/>
    <w:rsid w:val="000A2527"/>
    <w:rsid w:val="000A31A0"/>
    <w:rsid w:val="000A38A9"/>
    <w:rsid w:val="000A3E6D"/>
    <w:rsid w:val="000A4238"/>
    <w:rsid w:val="000A431C"/>
    <w:rsid w:val="000A4BE2"/>
    <w:rsid w:val="000A52E8"/>
    <w:rsid w:val="000A5322"/>
    <w:rsid w:val="000A53FB"/>
    <w:rsid w:val="000A546C"/>
    <w:rsid w:val="000A5494"/>
    <w:rsid w:val="000A5ADD"/>
    <w:rsid w:val="000A644C"/>
    <w:rsid w:val="000A6621"/>
    <w:rsid w:val="000A667C"/>
    <w:rsid w:val="000A66EE"/>
    <w:rsid w:val="000A681A"/>
    <w:rsid w:val="000A6D96"/>
    <w:rsid w:val="000A6E54"/>
    <w:rsid w:val="000A73E5"/>
    <w:rsid w:val="000B03D0"/>
    <w:rsid w:val="000B05F0"/>
    <w:rsid w:val="000B0C32"/>
    <w:rsid w:val="000B0C52"/>
    <w:rsid w:val="000B17A7"/>
    <w:rsid w:val="000B1BD7"/>
    <w:rsid w:val="000B217D"/>
    <w:rsid w:val="000B27F3"/>
    <w:rsid w:val="000B3313"/>
    <w:rsid w:val="000B3BE8"/>
    <w:rsid w:val="000B4147"/>
    <w:rsid w:val="000B52BD"/>
    <w:rsid w:val="000B5718"/>
    <w:rsid w:val="000B5F7E"/>
    <w:rsid w:val="000B6293"/>
    <w:rsid w:val="000B6317"/>
    <w:rsid w:val="000B63BD"/>
    <w:rsid w:val="000B680F"/>
    <w:rsid w:val="000B7908"/>
    <w:rsid w:val="000B7C9D"/>
    <w:rsid w:val="000B7E45"/>
    <w:rsid w:val="000B7EB9"/>
    <w:rsid w:val="000B7FD0"/>
    <w:rsid w:val="000C010F"/>
    <w:rsid w:val="000C03E5"/>
    <w:rsid w:val="000C0EB3"/>
    <w:rsid w:val="000C1592"/>
    <w:rsid w:val="000C165A"/>
    <w:rsid w:val="000C18DC"/>
    <w:rsid w:val="000C1B1A"/>
    <w:rsid w:val="000C1DA8"/>
    <w:rsid w:val="000C2CE5"/>
    <w:rsid w:val="000C3437"/>
    <w:rsid w:val="000C343B"/>
    <w:rsid w:val="000C3639"/>
    <w:rsid w:val="000C3858"/>
    <w:rsid w:val="000C3A2E"/>
    <w:rsid w:val="000C3B80"/>
    <w:rsid w:val="000C3CBF"/>
    <w:rsid w:val="000C4939"/>
    <w:rsid w:val="000C4DC8"/>
    <w:rsid w:val="000C5514"/>
    <w:rsid w:val="000C5AC0"/>
    <w:rsid w:val="000C5C9F"/>
    <w:rsid w:val="000C5E1D"/>
    <w:rsid w:val="000C74C6"/>
    <w:rsid w:val="000C79B0"/>
    <w:rsid w:val="000C7C45"/>
    <w:rsid w:val="000D0350"/>
    <w:rsid w:val="000D051A"/>
    <w:rsid w:val="000D0B29"/>
    <w:rsid w:val="000D0DCD"/>
    <w:rsid w:val="000D0F52"/>
    <w:rsid w:val="000D1197"/>
    <w:rsid w:val="000D1291"/>
    <w:rsid w:val="000D1B1A"/>
    <w:rsid w:val="000D2649"/>
    <w:rsid w:val="000D28BD"/>
    <w:rsid w:val="000D2E3E"/>
    <w:rsid w:val="000D311F"/>
    <w:rsid w:val="000D4EBA"/>
    <w:rsid w:val="000D4FE4"/>
    <w:rsid w:val="000D553B"/>
    <w:rsid w:val="000D56AB"/>
    <w:rsid w:val="000D56FF"/>
    <w:rsid w:val="000D5BF9"/>
    <w:rsid w:val="000D601B"/>
    <w:rsid w:val="000D64F8"/>
    <w:rsid w:val="000D66B7"/>
    <w:rsid w:val="000D6726"/>
    <w:rsid w:val="000D6A9F"/>
    <w:rsid w:val="000D6B9D"/>
    <w:rsid w:val="000D6D80"/>
    <w:rsid w:val="000D747E"/>
    <w:rsid w:val="000D79B9"/>
    <w:rsid w:val="000E02A2"/>
    <w:rsid w:val="000E0564"/>
    <w:rsid w:val="000E112F"/>
    <w:rsid w:val="000E1732"/>
    <w:rsid w:val="000E1853"/>
    <w:rsid w:val="000E1A00"/>
    <w:rsid w:val="000E1B4E"/>
    <w:rsid w:val="000E1C6A"/>
    <w:rsid w:val="000E24F0"/>
    <w:rsid w:val="000E2955"/>
    <w:rsid w:val="000E2C2D"/>
    <w:rsid w:val="000E2F3F"/>
    <w:rsid w:val="000E355E"/>
    <w:rsid w:val="000E3795"/>
    <w:rsid w:val="000E3CD6"/>
    <w:rsid w:val="000E4DFB"/>
    <w:rsid w:val="000E4EE6"/>
    <w:rsid w:val="000E591D"/>
    <w:rsid w:val="000E5BBE"/>
    <w:rsid w:val="000E5D6D"/>
    <w:rsid w:val="000E68E1"/>
    <w:rsid w:val="000E6E00"/>
    <w:rsid w:val="000E6E29"/>
    <w:rsid w:val="000E7606"/>
    <w:rsid w:val="000E77D1"/>
    <w:rsid w:val="000E7D8B"/>
    <w:rsid w:val="000F0D29"/>
    <w:rsid w:val="000F1EB6"/>
    <w:rsid w:val="000F2364"/>
    <w:rsid w:val="000F239F"/>
    <w:rsid w:val="000F259D"/>
    <w:rsid w:val="000F2E06"/>
    <w:rsid w:val="000F2ED3"/>
    <w:rsid w:val="000F2FAE"/>
    <w:rsid w:val="000F33A6"/>
    <w:rsid w:val="000F425D"/>
    <w:rsid w:val="000F4473"/>
    <w:rsid w:val="000F4727"/>
    <w:rsid w:val="000F5141"/>
    <w:rsid w:val="000F529C"/>
    <w:rsid w:val="000F596D"/>
    <w:rsid w:val="000F7843"/>
    <w:rsid w:val="000F7946"/>
    <w:rsid w:val="000F7A01"/>
    <w:rsid w:val="000F7A66"/>
    <w:rsid w:val="0010014F"/>
    <w:rsid w:val="00100D34"/>
    <w:rsid w:val="00101A7D"/>
    <w:rsid w:val="001029AC"/>
    <w:rsid w:val="001030E3"/>
    <w:rsid w:val="001035C9"/>
    <w:rsid w:val="00103685"/>
    <w:rsid w:val="00103B10"/>
    <w:rsid w:val="00104419"/>
    <w:rsid w:val="0010486F"/>
    <w:rsid w:val="001048BD"/>
    <w:rsid w:val="00104EC8"/>
    <w:rsid w:val="001057E2"/>
    <w:rsid w:val="00105E6E"/>
    <w:rsid w:val="00106218"/>
    <w:rsid w:val="0010642A"/>
    <w:rsid w:val="001064DA"/>
    <w:rsid w:val="00106817"/>
    <w:rsid w:val="00106B86"/>
    <w:rsid w:val="00106D79"/>
    <w:rsid w:val="00106ED7"/>
    <w:rsid w:val="001071EB"/>
    <w:rsid w:val="0010792E"/>
    <w:rsid w:val="001102EE"/>
    <w:rsid w:val="00110752"/>
    <w:rsid w:val="00111410"/>
    <w:rsid w:val="00111500"/>
    <w:rsid w:val="001117F1"/>
    <w:rsid w:val="00111A78"/>
    <w:rsid w:val="00111A9D"/>
    <w:rsid w:val="0011206C"/>
    <w:rsid w:val="00112502"/>
    <w:rsid w:val="00112E04"/>
    <w:rsid w:val="00112ED8"/>
    <w:rsid w:val="0011394F"/>
    <w:rsid w:val="00113D96"/>
    <w:rsid w:val="00114865"/>
    <w:rsid w:val="00114B58"/>
    <w:rsid w:val="00114CCA"/>
    <w:rsid w:val="0011514C"/>
    <w:rsid w:val="00115382"/>
    <w:rsid w:val="00115471"/>
    <w:rsid w:val="00115ABA"/>
    <w:rsid w:val="00116652"/>
    <w:rsid w:val="00116802"/>
    <w:rsid w:val="00116CAB"/>
    <w:rsid w:val="00116DEF"/>
    <w:rsid w:val="00116F75"/>
    <w:rsid w:val="00117CC3"/>
    <w:rsid w:val="00120197"/>
    <w:rsid w:val="0012095B"/>
    <w:rsid w:val="00120C99"/>
    <w:rsid w:val="00120E7B"/>
    <w:rsid w:val="00120EC3"/>
    <w:rsid w:val="00120EF6"/>
    <w:rsid w:val="00121113"/>
    <w:rsid w:val="00121445"/>
    <w:rsid w:val="00121A8E"/>
    <w:rsid w:val="00121C11"/>
    <w:rsid w:val="0012213C"/>
    <w:rsid w:val="001226D8"/>
    <w:rsid w:val="001229B6"/>
    <w:rsid w:val="00122E7A"/>
    <w:rsid w:val="00123060"/>
    <w:rsid w:val="001239F3"/>
    <w:rsid w:val="00123C68"/>
    <w:rsid w:val="00123C9C"/>
    <w:rsid w:val="00124C89"/>
    <w:rsid w:val="0012604E"/>
    <w:rsid w:val="001260B9"/>
    <w:rsid w:val="001267CE"/>
    <w:rsid w:val="001271CA"/>
    <w:rsid w:val="0012731A"/>
    <w:rsid w:val="001276C3"/>
    <w:rsid w:val="001277FC"/>
    <w:rsid w:val="0012797F"/>
    <w:rsid w:val="00127C0B"/>
    <w:rsid w:val="00127D9F"/>
    <w:rsid w:val="0013057B"/>
    <w:rsid w:val="001305E2"/>
    <w:rsid w:val="00130FEA"/>
    <w:rsid w:val="00131834"/>
    <w:rsid w:val="00132509"/>
    <w:rsid w:val="00132735"/>
    <w:rsid w:val="00132955"/>
    <w:rsid w:val="00132B6E"/>
    <w:rsid w:val="00133400"/>
    <w:rsid w:val="0013340A"/>
    <w:rsid w:val="001336E4"/>
    <w:rsid w:val="00133D89"/>
    <w:rsid w:val="0013430A"/>
    <w:rsid w:val="001353F5"/>
    <w:rsid w:val="001356DA"/>
    <w:rsid w:val="00135854"/>
    <w:rsid w:val="001359C9"/>
    <w:rsid w:val="00135A25"/>
    <w:rsid w:val="00135CFD"/>
    <w:rsid w:val="001365EF"/>
    <w:rsid w:val="0013661D"/>
    <w:rsid w:val="00136732"/>
    <w:rsid w:val="001367A4"/>
    <w:rsid w:val="00136814"/>
    <w:rsid w:val="0013687C"/>
    <w:rsid w:val="00137067"/>
    <w:rsid w:val="0013746B"/>
    <w:rsid w:val="0013793E"/>
    <w:rsid w:val="00137B60"/>
    <w:rsid w:val="00137FD1"/>
    <w:rsid w:val="00140262"/>
    <w:rsid w:val="0014049E"/>
    <w:rsid w:val="00140A56"/>
    <w:rsid w:val="00140C1B"/>
    <w:rsid w:val="00141AB5"/>
    <w:rsid w:val="00141AFB"/>
    <w:rsid w:val="00141FDF"/>
    <w:rsid w:val="001423DC"/>
    <w:rsid w:val="00142EE8"/>
    <w:rsid w:val="00142FDF"/>
    <w:rsid w:val="00142FE1"/>
    <w:rsid w:val="0014381B"/>
    <w:rsid w:val="001438DF"/>
    <w:rsid w:val="00143EDE"/>
    <w:rsid w:val="0014470F"/>
    <w:rsid w:val="00144A41"/>
    <w:rsid w:val="00144B85"/>
    <w:rsid w:val="001451DF"/>
    <w:rsid w:val="00145ADF"/>
    <w:rsid w:val="001460BC"/>
    <w:rsid w:val="0014611C"/>
    <w:rsid w:val="0014630C"/>
    <w:rsid w:val="00146F69"/>
    <w:rsid w:val="00147689"/>
    <w:rsid w:val="001476C7"/>
    <w:rsid w:val="00147967"/>
    <w:rsid w:val="001500A2"/>
    <w:rsid w:val="00150607"/>
    <w:rsid w:val="00150621"/>
    <w:rsid w:val="001507BD"/>
    <w:rsid w:val="00150AF1"/>
    <w:rsid w:val="00150C8C"/>
    <w:rsid w:val="00150D15"/>
    <w:rsid w:val="00150F17"/>
    <w:rsid w:val="00151174"/>
    <w:rsid w:val="00151DA8"/>
    <w:rsid w:val="0015266A"/>
    <w:rsid w:val="00152C85"/>
    <w:rsid w:val="001530D7"/>
    <w:rsid w:val="00153589"/>
    <w:rsid w:val="00153688"/>
    <w:rsid w:val="00153D2C"/>
    <w:rsid w:val="00154335"/>
    <w:rsid w:val="00154399"/>
    <w:rsid w:val="00154712"/>
    <w:rsid w:val="001547F0"/>
    <w:rsid w:val="0015494B"/>
    <w:rsid w:val="00154AC5"/>
    <w:rsid w:val="00154BB6"/>
    <w:rsid w:val="0015501F"/>
    <w:rsid w:val="0015518C"/>
    <w:rsid w:val="0015573F"/>
    <w:rsid w:val="00155D75"/>
    <w:rsid w:val="00155F10"/>
    <w:rsid w:val="00155F91"/>
    <w:rsid w:val="00156610"/>
    <w:rsid w:val="0015676B"/>
    <w:rsid w:val="00156998"/>
    <w:rsid w:val="001571B4"/>
    <w:rsid w:val="00157346"/>
    <w:rsid w:val="001578AA"/>
    <w:rsid w:val="00157CD1"/>
    <w:rsid w:val="0016030E"/>
    <w:rsid w:val="001605AB"/>
    <w:rsid w:val="001606EE"/>
    <w:rsid w:val="001607F1"/>
    <w:rsid w:val="00160CA7"/>
    <w:rsid w:val="00160F1E"/>
    <w:rsid w:val="00161DC7"/>
    <w:rsid w:val="00162236"/>
    <w:rsid w:val="00163778"/>
    <w:rsid w:val="00163AA6"/>
    <w:rsid w:val="00163D40"/>
    <w:rsid w:val="001643B1"/>
    <w:rsid w:val="00164575"/>
    <w:rsid w:val="001649DF"/>
    <w:rsid w:val="00164E6B"/>
    <w:rsid w:val="00165B82"/>
    <w:rsid w:val="00166317"/>
    <w:rsid w:val="0016652D"/>
    <w:rsid w:val="0016674B"/>
    <w:rsid w:val="00166A84"/>
    <w:rsid w:val="00167343"/>
    <w:rsid w:val="00167A3E"/>
    <w:rsid w:val="00171780"/>
    <w:rsid w:val="00171C46"/>
    <w:rsid w:val="00171E88"/>
    <w:rsid w:val="001724CA"/>
    <w:rsid w:val="0017273D"/>
    <w:rsid w:val="001728C8"/>
    <w:rsid w:val="00172B75"/>
    <w:rsid w:val="00172EAB"/>
    <w:rsid w:val="00173681"/>
    <w:rsid w:val="0017396C"/>
    <w:rsid w:val="00173C06"/>
    <w:rsid w:val="00174D32"/>
    <w:rsid w:val="00175450"/>
    <w:rsid w:val="00176131"/>
    <w:rsid w:val="00176532"/>
    <w:rsid w:val="001765C1"/>
    <w:rsid w:val="00176637"/>
    <w:rsid w:val="00176C63"/>
    <w:rsid w:val="00176E7E"/>
    <w:rsid w:val="001805B9"/>
    <w:rsid w:val="00180737"/>
    <w:rsid w:val="00181C77"/>
    <w:rsid w:val="00181F52"/>
    <w:rsid w:val="00181F99"/>
    <w:rsid w:val="001826E8"/>
    <w:rsid w:val="001827BF"/>
    <w:rsid w:val="00182A60"/>
    <w:rsid w:val="00182AD7"/>
    <w:rsid w:val="00182D2F"/>
    <w:rsid w:val="00183830"/>
    <w:rsid w:val="001838CB"/>
    <w:rsid w:val="00183A6A"/>
    <w:rsid w:val="00183B53"/>
    <w:rsid w:val="00183F3B"/>
    <w:rsid w:val="001855D9"/>
    <w:rsid w:val="001859F0"/>
    <w:rsid w:val="001862C5"/>
    <w:rsid w:val="0018637B"/>
    <w:rsid w:val="0018683E"/>
    <w:rsid w:val="00186BBD"/>
    <w:rsid w:val="00186CB7"/>
    <w:rsid w:val="00186FD5"/>
    <w:rsid w:val="00186FE6"/>
    <w:rsid w:val="0018714F"/>
    <w:rsid w:val="001872B1"/>
    <w:rsid w:val="00187608"/>
    <w:rsid w:val="00191462"/>
    <w:rsid w:val="00191634"/>
    <w:rsid w:val="0019187F"/>
    <w:rsid w:val="00191C52"/>
    <w:rsid w:val="001928D6"/>
    <w:rsid w:val="0019469B"/>
    <w:rsid w:val="001946C1"/>
    <w:rsid w:val="001948D1"/>
    <w:rsid w:val="001950EE"/>
    <w:rsid w:val="0019510C"/>
    <w:rsid w:val="00195145"/>
    <w:rsid w:val="00195789"/>
    <w:rsid w:val="00195EEE"/>
    <w:rsid w:val="00196491"/>
    <w:rsid w:val="00196BF5"/>
    <w:rsid w:val="00196D5F"/>
    <w:rsid w:val="00196DD4"/>
    <w:rsid w:val="001970EF"/>
    <w:rsid w:val="001975FC"/>
    <w:rsid w:val="00197961"/>
    <w:rsid w:val="00197C80"/>
    <w:rsid w:val="001A034F"/>
    <w:rsid w:val="001A03EE"/>
    <w:rsid w:val="001A0822"/>
    <w:rsid w:val="001A0862"/>
    <w:rsid w:val="001A0A41"/>
    <w:rsid w:val="001A0BCE"/>
    <w:rsid w:val="001A0C76"/>
    <w:rsid w:val="001A0CCE"/>
    <w:rsid w:val="001A0DE4"/>
    <w:rsid w:val="001A12DD"/>
    <w:rsid w:val="001A1A66"/>
    <w:rsid w:val="001A2668"/>
    <w:rsid w:val="001A2C24"/>
    <w:rsid w:val="001A3264"/>
    <w:rsid w:val="001A352B"/>
    <w:rsid w:val="001A3556"/>
    <w:rsid w:val="001A3649"/>
    <w:rsid w:val="001A3804"/>
    <w:rsid w:val="001A3B5B"/>
    <w:rsid w:val="001A40F5"/>
    <w:rsid w:val="001A47BB"/>
    <w:rsid w:val="001A4BA5"/>
    <w:rsid w:val="001A5314"/>
    <w:rsid w:val="001A5CD2"/>
    <w:rsid w:val="001A64A4"/>
    <w:rsid w:val="001A651B"/>
    <w:rsid w:val="001A72CC"/>
    <w:rsid w:val="001A74D3"/>
    <w:rsid w:val="001A76DD"/>
    <w:rsid w:val="001A7BA0"/>
    <w:rsid w:val="001A7FE3"/>
    <w:rsid w:val="001B0387"/>
    <w:rsid w:val="001B0493"/>
    <w:rsid w:val="001B06C9"/>
    <w:rsid w:val="001B071D"/>
    <w:rsid w:val="001B097E"/>
    <w:rsid w:val="001B0CAA"/>
    <w:rsid w:val="001B0CD7"/>
    <w:rsid w:val="001B1CEB"/>
    <w:rsid w:val="001B1E8E"/>
    <w:rsid w:val="001B1F3E"/>
    <w:rsid w:val="001B2056"/>
    <w:rsid w:val="001B227F"/>
    <w:rsid w:val="001B27F1"/>
    <w:rsid w:val="001B35A2"/>
    <w:rsid w:val="001B3AB8"/>
    <w:rsid w:val="001B43DE"/>
    <w:rsid w:val="001B49D7"/>
    <w:rsid w:val="001B57CA"/>
    <w:rsid w:val="001B5B57"/>
    <w:rsid w:val="001B6483"/>
    <w:rsid w:val="001B6563"/>
    <w:rsid w:val="001B6E30"/>
    <w:rsid w:val="001B7013"/>
    <w:rsid w:val="001B75D3"/>
    <w:rsid w:val="001B7AB6"/>
    <w:rsid w:val="001B7AB8"/>
    <w:rsid w:val="001B7E03"/>
    <w:rsid w:val="001C02C3"/>
    <w:rsid w:val="001C03E1"/>
    <w:rsid w:val="001C08AD"/>
    <w:rsid w:val="001C0C30"/>
    <w:rsid w:val="001C1423"/>
    <w:rsid w:val="001C1825"/>
    <w:rsid w:val="001C1DF1"/>
    <w:rsid w:val="001C1F52"/>
    <w:rsid w:val="001C21D3"/>
    <w:rsid w:val="001C2A35"/>
    <w:rsid w:val="001C2EA5"/>
    <w:rsid w:val="001C2F6E"/>
    <w:rsid w:val="001C2FAC"/>
    <w:rsid w:val="001C3658"/>
    <w:rsid w:val="001C388C"/>
    <w:rsid w:val="001C3D87"/>
    <w:rsid w:val="001C3E5A"/>
    <w:rsid w:val="001C3ECD"/>
    <w:rsid w:val="001C4048"/>
    <w:rsid w:val="001C42C4"/>
    <w:rsid w:val="001C4514"/>
    <w:rsid w:val="001C5747"/>
    <w:rsid w:val="001C583E"/>
    <w:rsid w:val="001C5B04"/>
    <w:rsid w:val="001C5BA4"/>
    <w:rsid w:val="001C5CA1"/>
    <w:rsid w:val="001C5EA7"/>
    <w:rsid w:val="001C7413"/>
    <w:rsid w:val="001C76F8"/>
    <w:rsid w:val="001C7A9B"/>
    <w:rsid w:val="001C7CF5"/>
    <w:rsid w:val="001C7E7C"/>
    <w:rsid w:val="001C7F4F"/>
    <w:rsid w:val="001D0391"/>
    <w:rsid w:val="001D0644"/>
    <w:rsid w:val="001D06C7"/>
    <w:rsid w:val="001D0C2D"/>
    <w:rsid w:val="001D0CF4"/>
    <w:rsid w:val="001D2228"/>
    <w:rsid w:val="001D280A"/>
    <w:rsid w:val="001D2C65"/>
    <w:rsid w:val="001D2DDA"/>
    <w:rsid w:val="001D3394"/>
    <w:rsid w:val="001D3795"/>
    <w:rsid w:val="001D3954"/>
    <w:rsid w:val="001D3CC6"/>
    <w:rsid w:val="001D3E59"/>
    <w:rsid w:val="001D4274"/>
    <w:rsid w:val="001D4D39"/>
    <w:rsid w:val="001D4E4C"/>
    <w:rsid w:val="001D5219"/>
    <w:rsid w:val="001D5BEC"/>
    <w:rsid w:val="001D5F64"/>
    <w:rsid w:val="001D6621"/>
    <w:rsid w:val="001D7266"/>
    <w:rsid w:val="001D729B"/>
    <w:rsid w:val="001D73BA"/>
    <w:rsid w:val="001D7800"/>
    <w:rsid w:val="001E00E9"/>
    <w:rsid w:val="001E08AB"/>
    <w:rsid w:val="001E0E5E"/>
    <w:rsid w:val="001E21C7"/>
    <w:rsid w:val="001E266F"/>
    <w:rsid w:val="001E26A7"/>
    <w:rsid w:val="001E285F"/>
    <w:rsid w:val="001E29FB"/>
    <w:rsid w:val="001E2ABE"/>
    <w:rsid w:val="001E3242"/>
    <w:rsid w:val="001E3A56"/>
    <w:rsid w:val="001E3D79"/>
    <w:rsid w:val="001E41E8"/>
    <w:rsid w:val="001E49A2"/>
    <w:rsid w:val="001E4CDE"/>
    <w:rsid w:val="001E5431"/>
    <w:rsid w:val="001E5BE4"/>
    <w:rsid w:val="001E6E0B"/>
    <w:rsid w:val="001E6F6B"/>
    <w:rsid w:val="001E7048"/>
    <w:rsid w:val="001E7156"/>
    <w:rsid w:val="001E73A1"/>
    <w:rsid w:val="001E79F5"/>
    <w:rsid w:val="001E7FB6"/>
    <w:rsid w:val="001F0615"/>
    <w:rsid w:val="001F08A4"/>
    <w:rsid w:val="001F104A"/>
    <w:rsid w:val="001F1290"/>
    <w:rsid w:val="001F1449"/>
    <w:rsid w:val="001F1C7C"/>
    <w:rsid w:val="001F1CC3"/>
    <w:rsid w:val="001F1EA8"/>
    <w:rsid w:val="001F1F09"/>
    <w:rsid w:val="001F23B9"/>
    <w:rsid w:val="001F2A4D"/>
    <w:rsid w:val="001F4049"/>
    <w:rsid w:val="001F42F3"/>
    <w:rsid w:val="001F4A8B"/>
    <w:rsid w:val="001F4DA2"/>
    <w:rsid w:val="001F555F"/>
    <w:rsid w:val="001F59C0"/>
    <w:rsid w:val="001F5AF3"/>
    <w:rsid w:val="001F5AF7"/>
    <w:rsid w:val="001F5E53"/>
    <w:rsid w:val="001F606D"/>
    <w:rsid w:val="001F634A"/>
    <w:rsid w:val="001F63FA"/>
    <w:rsid w:val="001F6BB5"/>
    <w:rsid w:val="001F7921"/>
    <w:rsid w:val="0020030B"/>
    <w:rsid w:val="00200649"/>
    <w:rsid w:val="00200D2B"/>
    <w:rsid w:val="002015D9"/>
    <w:rsid w:val="002019C3"/>
    <w:rsid w:val="00201A93"/>
    <w:rsid w:val="00201AF3"/>
    <w:rsid w:val="00201B35"/>
    <w:rsid w:val="00201DC7"/>
    <w:rsid w:val="00201E3A"/>
    <w:rsid w:val="00201F18"/>
    <w:rsid w:val="002026E1"/>
    <w:rsid w:val="002030CB"/>
    <w:rsid w:val="00203142"/>
    <w:rsid w:val="00203175"/>
    <w:rsid w:val="00203711"/>
    <w:rsid w:val="00203E50"/>
    <w:rsid w:val="00204B60"/>
    <w:rsid w:val="002054EB"/>
    <w:rsid w:val="002055AE"/>
    <w:rsid w:val="002057B2"/>
    <w:rsid w:val="00205ADA"/>
    <w:rsid w:val="00205ADB"/>
    <w:rsid w:val="00205DF3"/>
    <w:rsid w:val="00206085"/>
    <w:rsid w:val="0020645C"/>
    <w:rsid w:val="00206543"/>
    <w:rsid w:val="0020671F"/>
    <w:rsid w:val="00206AD1"/>
    <w:rsid w:val="00206EDB"/>
    <w:rsid w:val="00207104"/>
    <w:rsid w:val="0020763E"/>
    <w:rsid w:val="002076F5"/>
    <w:rsid w:val="00207C97"/>
    <w:rsid w:val="00210255"/>
    <w:rsid w:val="00210ADC"/>
    <w:rsid w:val="00210F36"/>
    <w:rsid w:val="002113AF"/>
    <w:rsid w:val="0021150F"/>
    <w:rsid w:val="00211DCA"/>
    <w:rsid w:val="00212DB6"/>
    <w:rsid w:val="00212E5C"/>
    <w:rsid w:val="00214CEB"/>
    <w:rsid w:val="00215025"/>
    <w:rsid w:val="0021509D"/>
    <w:rsid w:val="002150FE"/>
    <w:rsid w:val="002154EF"/>
    <w:rsid w:val="00215BB9"/>
    <w:rsid w:val="00215F3E"/>
    <w:rsid w:val="00215FC1"/>
    <w:rsid w:val="002161FF"/>
    <w:rsid w:val="0021637A"/>
    <w:rsid w:val="002163AC"/>
    <w:rsid w:val="00216A1D"/>
    <w:rsid w:val="0021703D"/>
    <w:rsid w:val="002171D4"/>
    <w:rsid w:val="00217745"/>
    <w:rsid w:val="00217B93"/>
    <w:rsid w:val="002204C0"/>
    <w:rsid w:val="0022054E"/>
    <w:rsid w:val="00220696"/>
    <w:rsid w:val="00220A2C"/>
    <w:rsid w:val="00220B50"/>
    <w:rsid w:val="0022141C"/>
    <w:rsid w:val="0022171E"/>
    <w:rsid w:val="00221DEB"/>
    <w:rsid w:val="00222476"/>
    <w:rsid w:val="00222C7E"/>
    <w:rsid w:val="00222D43"/>
    <w:rsid w:val="00222EF6"/>
    <w:rsid w:val="00223719"/>
    <w:rsid w:val="00223804"/>
    <w:rsid w:val="002241A0"/>
    <w:rsid w:val="002245D0"/>
    <w:rsid w:val="002246E5"/>
    <w:rsid w:val="00224A4E"/>
    <w:rsid w:val="00224BA3"/>
    <w:rsid w:val="00224BDC"/>
    <w:rsid w:val="00224F58"/>
    <w:rsid w:val="00225186"/>
    <w:rsid w:val="00225278"/>
    <w:rsid w:val="0022550C"/>
    <w:rsid w:val="002258D6"/>
    <w:rsid w:val="00225A49"/>
    <w:rsid w:val="00225C3C"/>
    <w:rsid w:val="00225DE5"/>
    <w:rsid w:val="00226A6E"/>
    <w:rsid w:val="00226B56"/>
    <w:rsid w:val="00226BE3"/>
    <w:rsid w:val="00226C35"/>
    <w:rsid w:val="00226C74"/>
    <w:rsid w:val="0022723F"/>
    <w:rsid w:val="00227301"/>
    <w:rsid w:val="00227315"/>
    <w:rsid w:val="00227C8E"/>
    <w:rsid w:val="00227F61"/>
    <w:rsid w:val="00230885"/>
    <w:rsid w:val="00230B0E"/>
    <w:rsid w:val="00230EA3"/>
    <w:rsid w:val="00230FBE"/>
    <w:rsid w:val="00231249"/>
    <w:rsid w:val="002315C8"/>
    <w:rsid w:val="00231769"/>
    <w:rsid w:val="00232084"/>
    <w:rsid w:val="002323D5"/>
    <w:rsid w:val="00232AA5"/>
    <w:rsid w:val="00232AEF"/>
    <w:rsid w:val="00232B6C"/>
    <w:rsid w:val="00233035"/>
    <w:rsid w:val="002337B4"/>
    <w:rsid w:val="00233B80"/>
    <w:rsid w:val="00233D62"/>
    <w:rsid w:val="00233FBC"/>
    <w:rsid w:val="00234A61"/>
    <w:rsid w:val="002350DB"/>
    <w:rsid w:val="002366C3"/>
    <w:rsid w:val="00236714"/>
    <w:rsid w:val="00236A32"/>
    <w:rsid w:val="0023705E"/>
    <w:rsid w:val="002404FF"/>
    <w:rsid w:val="00240B0D"/>
    <w:rsid w:val="00241154"/>
    <w:rsid w:val="00241335"/>
    <w:rsid w:val="00241513"/>
    <w:rsid w:val="002418F8"/>
    <w:rsid w:val="0024198C"/>
    <w:rsid w:val="002428FD"/>
    <w:rsid w:val="00242968"/>
    <w:rsid w:val="002436D0"/>
    <w:rsid w:val="00243739"/>
    <w:rsid w:val="00243D0B"/>
    <w:rsid w:val="0024413C"/>
    <w:rsid w:val="00244247"/>
    <w:rsid w:val="00244452"/>
    <w:rsid w:val="00244496"/>
    <w:rsid w:val="002445CE"/>
    <w:rsid w:val="0024485C"/>
    <w:rsid w:val="00244A3F"/>
    <w:rsid w:val="00244D89"/>
    <w:rsid w:val="0024590E"/>
    <w:rsid w:val="002459DF"/>
    <w:rsid w:val="00245B39"/>
    <w:rsid w:val="002464FB"/>
    <w:rsid w:val="002472FE"/>
    <w:rsid w:val="002474C6"/>
    <w:rsid w:val="002478C8"/>
    <w:rsid w:val="00247F00"/>
    <w:rsid w:val="00247F65"/>
    <w:rsid w:val="0025021E"/>
    <w:rsid w:val="002504B9"/>
    <w:rsid w:val="00250574"/>
    <w:rsid w:val="00250DB8"/>
    <w:rsid w:val="00250EAE"/>
    <w:rsid w:val="00250EFD"/>
    <w:rsid w:val="002511D8"/>
    <w:rsid w:val="00251C5B"/>
    <w:rsid w:val="002525DC"/>
    <w:rsid w:val="00252863"/>
    <w:rsid w:val="00252BE0"/>
    <w:rsid w:val="00252C06"/>
    <w:rsid w:val="00252C23"/>
    <w:rsid w:val="00253838"/>
    <w:rsid w:val="002538D1"/>
    <w:rsid w:val="002538FB"/>
    <w:rsid w:val="00253938"/>
    <w:rsid w:val="00253E51"/>
    <w:rsid w:val="00253F70"/>
    <w:rsid w:val="0025422D"/>
    <w:rsid w:val="00254625"/>
    <w:rsid w:val="00254B62"/>
    <w:rsid w:val="00254D76"/>
    <w:rsid w:val="00255450"/>
    <w:rsid w:val="00255CF7"/>
    <w:rsid w:val="00255F42"/>
    <w:rsid w:val="0025620D"/>
    <w:rsid w:val="00256AD1"/>
    <w:rsid w:val="00256CD0"/>
    <w:rsid w:val="00256EBE"/>
    <w:rsid w:val="00256FE1"/>
    <w:rsid w:val="0025795A"/>
    <w:rsid w:val="00257C3F"/>
    <w:rsid w:val="00257D9B"/>
    <w:rsid w:val="00257E7B"/>
    <w:rsid w:val="0026003F"/>
    <w:rsid w:val="002608CB"/>
    <w:rsid w:val="00260CF6"/>
    <w:rsid w:val="0026109D"/>
    <w:rsid w:val="002616B6"/>
    <w:rsid w:val="00261712"/>
    <w:rsid w:val="00261903"/>
    <w:rsid w:val="002623E5"/>
    <w:rsid w:val="002623F3"/>
    <w:rsid w:val="002625D6"/>
    <w:rsid w:val="002625DD"/>
    <w:rsid w:val="002628E1"/>
    <w:rsid w:val="00262AD3"/>
    <w:rsid w:val="00262E9B"/>
    <w:rsid w:val="00263350"/>
    <w:rsid w:val="00263379"/>
    <w:rsid w:val="002633AA"/>
    <w:rsid w:val="00263428"/>
    <w:rsid w:val="0026376A"/>
    <w:rsid w:val="002638EF"/>
    <w:rsid w:val="0026401A"/>
    <w:rsid w:val="00264755"/>
    <w:rsid w:val="00264DF8"/>
    <w:rsid w:val="00264FB7"/>
    <w:rsid w:val="002650C5"/>
    <w:rsid w:val="002657A4"/>
    <w:rsid w:val="002659B7"/>
    <w:rsid w:val="00266585"/>
    <w:rsid w:val="00266A1C"/>
    <w:rsid w:val="00266AF8"/>
    <w:rsid w:val="00266C64"/>
    <w:rsid w:val="00266D35"/>
    <w:rsid w:val="002676F0"/>
    <w:rsid w:val="00267D15"/>
    <w:rsid w:val="00270182"/>
    <w:rsid w:val="002705C7"/>
    <w:rsid w:val="002707B4"/>
    <w:rsid w:val="002710FD"/>
    <w:rsid w:val="0027144A"/>
    <w:rsid w:val="00271C89"/>
    <w:rsid w:val="002724AD"/>
    <w:rsid w:val="00272B21"/>
    <w:rsid w:val="00272F47"/>
    <w:rsid w:val="00273287"/>
    <w:rsid w:val="002735C9"/>
    <w:rsid w:val="002736D7"/>
    <w:rsid w:val="00273C5C"/>
    <w:rsid w:val="00274034"/>
    <w:rsid w:val="00274C04"/>
    <w:rsid w:val="002750FF"/>
    <w:rsid w:val="00275168"/>
    <w:rsid w:val="002753DF"/>
    <w:rsid w:val="00275B3E"/>
    <w:rsid w:val="00275DCC"/>
    <w:rsid w:val="00276814"/>
    <w:rsid w:val="00276F1C"/>
    <w:rsid w:val="0027731B"/>
    <w:rsid w:val="0027758E"/>
    <w:rsid w:val="0027785B"/>
    <w:rsid w:val="00277C42"/>
    <w:rsid w:val="00280531"/>
    <w:rsid w:val="00280BFB"/>
    <w:rsid w:val="00280E72"/>
    <w:rsid w:val="0028141C"/>
    <w:rsid w:val="00281568"/>
    <w:rsid w:val="00281B75"/>
    <w:rsid w:val="00281EEA"/>
    <w:rsid w:val="00282269"/>
    <w:rsid w:val="0028253E"/>
    <w:rsid w:val="002828B6"/>
    <w:rsid w:val="00282D0A"/>
    <w:rsid w:val="00282D71"/>
    <w:rsid w:val="00282F0F"/>
    <w:rsid w:val="002836B1"/>
    <w:rsid w:val="00283710"/>
    <w:rsid w:val="002837EB"/>
    <w:rsid w:val="00283CC6"/>
    <w:rsid w:val="002857F0"/>
    <w:rsid w:val="00285870"/>
    <w:rsid w:val="00285BE2"/>
    <w:rsid w:val="00285E7B"/>
    <w:rsid w:val="00286098"/>
    <w:rsid w:val="00286585"/>
    <w:rsid w:val="002866D1"/>
    <w:rsid w:val="00286863"/>
    <w:rsid w:val="0028697A"/>
    <w:rsid w:val="00287AEC"/>
    <w:rsid w:val="00287FA9"/>
    <w:rsid w:val="00290B65"/>
    <w:rsid w:val="00291122"/>
    <w:rsid w:val="00291362"/>
    <w:rsid w:val="00291745"/>
    <w:rsid w:val="002917F6"/>
    <w:rsid w:val="00292392"/>
    <w:rsid w:val="002929A0"/>
    <w:rsid w:val="002933A6"/>
    <w:rsid w:val="0029373C"/>
    <w:rsid w:val="00293756"/>
    <w:rsid w:val="00293801"/>
    <w:rsid w:val="00293D85"/>
    <w:rsid w:val="00294872"/>
    <w:rsid w:val="002955FD"/>
    <w:rsid w:val="00295B62"/>
    <w:rsid w:val="002962BB"/>
    <w:rsid w:val="002975D9"/>
    <w:rsid w:val="0029765F"/>
    <w:rsid w:val="00297A65"/>
    <w:rsid w:val="00297B5F"/>
    <w:rsid w:val="002A0129"/>
    <w:rsid w:val="002A046C"/>
    <w:rsid w:val="002A07D0"/>
    <w:rsid w:val="002A07D1"/>
    <w:rsid w:val="002A0A42"/>
    <w:rsid w:val="002A0AB4"/>
    <w:rsid w:val="002A11CF"/>
    <w:rsid w:val="002A124B"/>
    <w:rsid w:val="002A1C9B"/>
    <w:rsid w:val="002A1E7E"/>
    <w:rsid w:val="002A2F3D"/>
    <w:rsid w:val="002A3292"/>
    <w:rsid w:val="002A3F9D"/>
    <w:rsid w:val="002A4A20"/>
    <w:rsid w:val="002A4AC6"/>
    <w:rsid w:val="002A4D04"/>
    <w:rsid w:val="002A4E95"/>
    <w:rsid w:val="002A540C"/>
    <w:rsid w:val="002A5512"/>
    <w:rsid w:val="002A5D86"/>
    <w:rsid w:val="002A5D91"/>
    <w:rsid w:val="002A6301"/>
    <w:rsid w:val="002A64DE"/>
    <w:rsid w:val="002A6761"/>
    <w:rsid w:val="002A6926"/>
    <w:rsid w:val="002A6A1D"/>
    <w:rsid w:val="002A7204"/>
    <w:rsid w:val="002A7894"/>
    <w:rsid w:val="002B017D"/>
    <w:rsid w:val="002B0902"/>
    <w:rsid w:val="002B0944"/>
    <w:rsid w:val="002B0F6A"/>
    <w:rsid w:val="002B13FC"/>
    <w:rsid w:val="002B1A32"/>
    <w:rsid w:val="002B1BE3"/>
    <w:rsid w:val="002B31FF"/>
    <w:rsid w:val="002B3218"/>
    <w:rsid w:val="002B336B"/>
    <w:rsid w:val="002B359F"/>
    <w:rsid w:val="002B3674"/>
    <w:rsid w:val="002B36EC"/>
    <w:rsid w:val="002B3CE6"/>
    <w:rsid w:val="002B442B"/>
    <w:rsid w:val="002B4A1B"/>
    <w:rsid w:val="002B4A51"/>
    <w:rsid w:val="002B4C43"/>
    <w:rsid w:val="002B4D1E"/>
    <w:rsid w:val="002B5583"/>
    <w:rsid w:val="002B643E"/>
    <w:rsid w:val="002B7AD0"/>
    <w:rsid w:val="002B7B26"/>
    <w:rsid w:val="002B7DB5"/>
    <w:rsid w:val="002C0192"/>
    <w:rsid w:val="002C02E4"/>
    <w:rsid w:val="002C0534"/>
    <w:rsid w:val="002C082F"/>
    <w:rsid w:val="002C0B6D"/>
    <w:rsid w:val="002C0C5C"/>
    <w:rsid w:val="002C0E24"/>
    <w:rsid w:val="002C11AD"/>
    <w:rsid w:val="002C17E0"/>
    <w:rsid w:val="002C1C92"/>
    <w:rsid w:val="002C1DAC"/>
    <w:rsid w:val="002C1E12"/>
    <w:rsid w:val="002C23E9"/>
    <w:rsid w:val="002C24B6"/>
    <w:rsid w:val="002C2C1F"/>
    <w:rsid w:val="002C2C5E"/>
    <w:rsid w:val="002C3AD4"/>
    <w:rsid w:val="002C3F48"/>
    <w:rsid w:val="002C4063"/>
    <w:rsid w:val="002C4BC5"/>
    <w:rsid w:val="002C4F23"/>
    <w:rsid w:val="002C4F8B"/>
    <w:rsid w:val="002C53D0"/>
    <w:rsid w:val="002C5627"/>
    <w:rsid w:val="002C584E"/>
    <w:rsid w:val="002C5862"/>
    <w:rsid w:val="002C5A91"/>
    <w:rsid w:val="002C5A9B"/>
    <w:rsid w:val="002C5B60"/>
    <w:rsid w:val="002C6211"/>
    <w:rsid w:val="002C66FB"/>
    <w:rsid w:val="002C7134"/>
    <w:rsid w:val="002C7222"/>
    <w:rsid w:val="002C7233"/>
    <w:rsid w:val="002C7383"/>
    <w:rsid w:val="002C749B"/>
    <w:rsid w:val="002C7501"/>
    <w:rsid w:val="002C7C80"/>
    <w:rsid w:val="002D006E"/>
    <w:rsid w:val="002D0174"/>
    <w:rsid w:val="002D036F"/>
    <w:rsid w:val="002D100B"/>
    <w:rsid w:val="002D13BE"/>
    <w:rsid w:val="002D14A1"/>
    <w:rsid w:val="002D19CA"/>
    <w:rsid w:val="002D1A2C"/>
    <w:rsid w:val="002D1B4F"/>
    <w:rsid w:val="002D1D96"/>
    <w:rsid w:val="002D1F38"/>
    <w:rsid w:val="002D26ED"/>
    <w:rsid w:val="002D2B5C"/>
    <w:rsid w:val="002D350B"/>
    <w:rsid w:val="002D397E"/>
    <w:rsid w:val="002D3E4E"/>
    <w:rsid w:val="002D4D16"/>
    <w:rsid w:val="002D5A3B"/>
    <w:rsid w:val="002D5AF2"/>
    <w:rsid w:val="002D647F"/>
    <w:rsid w:val="002D678D"/>
    <w:rsid w:val="002D6BF3"/>
    <w:rsid w:val="002D6E08"/>
    <w:rsid w:val="002D7976"/>
    <w:rsid w:val="002D7C27"/>
    <w:rsid w:val="002D7EAB"/>
    <w:rsid w:val="002E0201"/>
    <w:rsid w:val="002E0338"/>
    <w:rsid w:val="002E04BA"/>
    <w:rsid w:val="002E0E97"/>
    <w:rsid w:val="002E15EC"/>
    <w:rsid w:val="002E16F9"/>
    <w:rsid w:val="002E1A50"/>
    <w:rsid w:val="002E21B3"/>
    <w:rsid w:val="002E26E7"/>
    <w:rsid w:val="002E2BCA"/>
    <w:rsid w:val="002E343C"/>
    <w:rsid w:val="002E386F"/>
    <w:rsid w:val="002E4158"/>
    <w:rsid w:val="002E45C7"/>
    <w:rsid w:val="002E4A15"/>
    <w:rsid w:val="002E4DF9"/>
    <w:rsid w:val="002E508F"/>
    <w:rsid w:val="002E52C8"/>
    <w:rsid w:val="002E611B"/>
    <w:rsid w:val="002E6151"/>
    <w:rsid w:val="002E7229"/>
    <w:rsid w:val="002E7614"/>
    <w:rsid w:val="002E789B"/>
    <w:rsid w:val="002E7ACE"/>
    <w:rsid w:val="002F040D"/>
    <w:rsid w:val="002F0472"/>
    <w:rsid w:val="002F0A1F"/>
    <w:rsid w:val="002F0E55"/>
    <w:rsid w:val="002F189F"/>
    <w:rsid w:val="002F25E8"/>
    <w:rsid w:val="002F2610"/>
    <w:rsid w:val="002F2680"/>
    <w:rsid w:val="002F300D"/>
    <w:rsid w:val="002F320C"/>
    <w:rsid w:val="002F335E"/>
    <w:rsid w:val="002F3420"/>
    <w:rsid w:val="002F34BB"/>
    <w:rsid w:val="002F3ECC"/>
    <w:rsid w:val="002F3F5A"/>
    <w:rsid w:val="002F4027"/>
    <w:rsid w:val="002F42E6"/>
    <w:rsid w:val="002F4DA9"/>
    <w:rsid w:val="002F4EBE"/>
    <w:rsid w:val="002F5439"/>
    <w:rsid w:val="002F5AD3"/>
    <w:rsid w:val="002F5ADA"/>
    <w:rsid w:val="002F5AF4"/>
    <w:rsid w:val="002F5B94"/>
    <w:rsid w:val="002F5D72"/>
    <w:rsid w:val="002F64B8"/>
    <w:rsid w:val="002F6867"/>
    <w:rsid w:val="002F6DF6"/>
    <w:rsid w:val="002F79AB"/>
    <w:rsid w:val="002F7C90"/>
    <w:rsid w:val="00300032"/>
    <w:rsid w:val="0030063B"/>
    <w:rsid w:val="00300D9E"/>
    <w:rsid w:val="00300F89"/>
    <w:rsid w:val="00301229"/>
    <w:rsid w:val="003018AB"/>
    <w:rsid w:val="00302175"/>
    <w:rsid w:val="00302459"/>
    <w:rsid w:val="003025A5"/>
    <w:rsid w:val="00302BFA"/>
    <w:rsid w:val="00302EC3"/>
    <w:rsid w:val="00303244"/>
    <w:rsid w:val="003033DD"/>
    <w:rsid w:val="00303558"/>
    <w:rsid w:val="003037D1"/>
    <w:rsid w:val="00303A32"/>
    <w:rsid w:val="00303B00"/>
    <w:rsid w:val="003041EC"/>
    <w:rsid w:val="0030431A"/>
    <w:rsid w:val="0030502F"/>
    <w:rsid w:val="003052CB"/>
    <w:rsid w:val="003057F3"/>
    <w:rsid w:val="00305B85"/>
    <w:rsid w:val="00306054"/>
    <w:rsid w:val="003061CA"/>
    <w:rsid w:val="003062FF"/>
    <w:rsid w:val="00306535"/>
    <w:rsid w:val="00306981"/>
    <w:rsid w:val="00306DAA"/>
    <w:rsid w:val="0030704D"/>
    <w:rsid w:val="00307C81"/>
    <w:rsid w:val="00311616"/>
    <w:rsid w:val="00311817"/>
    <w:rsid w:val="00311A69"/>
    <w:rsid w:val="00311B2E"/>
    <w:rsid w:val="00311D28"/>
    <w:rsid w:val="00312673"/>
    <w:rsid w:val="00312681"/>
    <w:rsid w:val="003127B4"/>
    <w:rsid w:val="00312BAC"/>
    <w:rsid w:val="00312BEF"/>
    <w:rsid w:val="00312D10"/>
    <w:rsid w:val="00312EC8"/>
    <w:rsid w:val="0031313D"/>
    <w:rsid w:val="00313CF7"/>
    <w:rsid w:val="003145C3"/>
    <w:rsid w:val="003147AD"/>
    <w:rsid w:val="00314CB3"/>
    <w:rsid w:val="003155F0"/>
    <w:rsid w:val="00315694"/>
    <w:rsid w:val="0031618A"/>
    <w:rsid w:val="0031645B"/>
    <w:rsid w:val="003165E5"/>
    <w:rsid w:val="003165FE"/>
    <w:rsid w:val="00316657"/>
    <w:rsid w:val="00316C40"/>
    <w:rsid w:val="00317773"/>
    <w:rsid w:val="00317D2B"/>
    <w:rsid w:val="00317D65"/>
    <w:rsid w:val="00317E59"/>
    <w:rsid w:val="0032029A"/>
    <w:rsid w:val="003209F4"/>
    <w:rsid w:val="00320A0D"/>
    <w:rsid w:val="00320F27"/>
    <w:rsid w:val="0032120C"/>
    <w:rsid w:val="00321B2A"/>
    <w:rsid w:val="00322278"/>
    <w:rsid w:val="003222B1"/>
    <w:rsid w:val="003228E4"/>
    <w:rsid w:val="00322A9A"/>
    <w:rsid w:val="00323A40"/>
    <w:rsid w:val="003241D1"/>
    <w:rsid w:val="00324585"/>
    <w:rsid w:val="00324CC6"/>
    <w:rsid w:val="003252E0"/>
    <w:rsid w:val="0032606F"/>
    <w:rsid w:val="003263C4"/>
    <w:rsid w:val="0032642E"/>
    <w:rsid w:val="003265AB"/>
    <w:rsid w:val="0032703F"/>
    <w:rsid w:val="00327520"/>
    <w:rsid w:val="003277EC"/>
    <w:rsid w:val="00327DD9"/>
    <w:rsid w:val="00327EF5"/>
    <w:rsid w:val="003302DF"/>
    <w:rsid w:val="0033043B"/>
    <w:rsid w:val="00330899"/>
    <w:rsid w:val="00330B49"/>
    <w:rsid w:val="00330DF3"/>
    <w:rsid w:val="003314BB"/>
    <w:rsid w:val="00331DB3"/>
    <w:rsid w:val="00331F9E"/>
    <w:rsid w:val="0033203D"/>
    <w:rsid w:val="0033210A"/>
    <w:rsid w:val="003324D7"/>
    <w:rsid w:val="0033263E"/>
    <w:rsid w:val="00332A9C"/>
    <w:rsid w:val="0033365E"/>
    <w:rsid w:val="003337C3"/>
    <w:rsid w:val="00333CBE"/>
    <w:rsid w:val="00333F8A"/>
    <w:rsid w:val="00334011"/>
    <w:rsid w:val="00334113"/>
    <w:rsid w:val="00334320"/>
    <w:rsid w:val="00334368"/>
    <w:rsid w:val="00334DAB"/>
    <w:rsid w:val="00334E45"/>
    <w:rsid w:val="00335BFC"/>
    <w:rsid w:val="00335FCF"/>
    <w:rsid w:val="0033624A"/>
    <w:rsid w:val="00336394"/>
    <w:rsid w:val="0033668B"/>
    <w:rsid w:val="0033679B"/>
    <w:rsid w:val="003370D4"/>
    <w:rsid w:val="00337510"/>
    <w:rsid w:val="00337590"/>
    <w:rsid w:val="00337629"/>
    <w:rsid w:val="0033775B"/>
    <w:rsid w:val="00337B56"/>
    <w:rsid w:val="00337E20"/>
    <w:rsid w:val="003404E1"/>
    <w:rsid w:val="00340A9D"/>
    <w:rsid w:val="00340B15"/>
    <w:rsid w:val="00341146"/>
    <w:rsid w:val="0034128A"/>
    <w:rsid w:val="00341312"/>
    <w:rsid w:val="00341B1F"/>
    <w:rsid w:val="0034260A"/>
    <w:rsid w:val="00342690"/>
    <w:rsid w:val="00342756"/>
    <w:rsid w:val="00342B41"/>
    <w:rsid w:val="00342BE4"/>
    <w:rsid w:val="00342D71"/>
    <w:rsid w:val="0034311B"/>
    <w:rsid w:val="00343E9D"/>
    <w:rsid w:val="00344579"/>
    <w:rsid w:val="003445CA"/>
    <w:rsid w:val="003448C3"/>
    <w:rsid w:val="0034491D"/>
    <w:rsid w:val="00344AA1"/>
    <w:rsid w:val="003451D4"/>
    <w:rsid w:val="003464EC"/>
    <w:rsid w:val="00346C78"/>
    <w:rsid w:val="00346D32"/>
    <w:rsid w:val="00346F3D"/>
    <w:rsid w:val="003473B1"/>
    <w:rsid w:val="0034775F"/>
    <w:rsid w:val="00347E2F"/>
    <w:rsid w:val="003500A1"/>
    <w:rsid w:val="0035096A"/>
    <w:rsid w:val="00350D2E"/>
    <w:rsid w:val="00351AF9"/>
    <w:rsid w:val="003522B9"/>
    <w:rsid w:val="003528CD"/>
    <w:rsid w:val="003529C7"/>
    <w:rsid w:val="00352EE8"/>
    <w:rsid w:val="00353B8A"/>
    <w:rsid w:val="00353C52"/>
    <w:rsid w:val="003547AF"/>
    <w:rsid w:val="00354DC8"/>
    <w:rsid w:val="00355005"/>
    <w:rsid w:val="00355860"/>
    <w:rsid w:val="00356076"/>
    <w:rsid w:val="003560DF"/>
    <w:rsid w:val="00356B75"/>
    <w:rsid w:val="00357492"/>
    <w:rsid w:val="00357708"/>
    <w:rsid w:val="00357835"/>
    <w:rsid w:val="00357FBD"/>
    <w:rsid w:val="00360162"/>
    <w:rsid w:val="00360B57"/>
    <w:rsid w:val="00360FDF"/>
    <w:rsid w:val="003615BF"/>
    <w:rsid w:val="00361A78"/>
    <w:rsid w:val="00361F11"/>
    <w:rsid w:val="00362045"/>
    <w:rsid w:val="00362317"/>
    <w:rsid w:val="00363095"/>
    <w:rsid w:val="003632EC"/>
    <w:rsid w:val="003633EA"/>
    <w:rsid w:val="0036431C"/>
    <w:rsid w:val="00364609"/>
    <w:rsid w:val="0036467F"/>
    <w:rsid w:val="00365143"/>
    <w:rsid w:val="003655DD"/>
    <w:rsid w:val="0036586B"/>
    <w:rsid w:val="00365BE6"/>
    <w:rsid w:val="00365FB8"/>
    <w:rsid w:val="003665CE"/>
    <w:rsid w:val="00366C86"/>
    <w:rsid w:val="00367072"/>
    <w:rsid w:val="003678EE"/>
    <w:rsid w:val="00370983"/>
    <w:rsid w:val="00371674"/>
    <w:rsid w:val="0037186F"/>
    <w:rsid w:val="00371B6D"/>
    <w:rsid w:val="00371D3D"/>
    <w:rsid w:val="00373903"/>
    <w:rsid w:val="003739A9"/>
    <w:rsid w:val="00373D77"/>
    <w:rsid w:val="0037466B"/>
    <w:rsid w:val="003752E0"/>
    <w:rsid w:val="003765DF"/>
    <w:rsid w:val="00376682"/>
    <w:rsid w:val="003766F9"/>
    <w:rsid w:val="0037674D"/>
    <w:rsid w:val="00376A1B"/>
    <w:rsid w:val="00376AC7"/>
    <w:rsid w:val="00376D27"/>
    <w:rsid w:val="00377235"/>
    <w:rsid w:val="003773FF"/>
    <w:rsid w:val="0037755F"/>
    <w:rsid w:val="00377B9A"/>
    <w:rsid w:val="00380B06"/>
    <w:rsid w:val="00380FF7"/>
    <w:rsid w:val="003812DD"/>
    <w:rsid w:val="00381733"/>
    <w:rsid w:val="003818B5"/>
    <w:rsid w:val="00381974"/>
    <w:rsid w:val="00381B60"/>
    <w:rsid w:val="00382762"/>
    <w:rsid w:val="00382B2F"/>
    <w:rsid w:val="00382D33"/>
    <w:rsid w:val="00383360"/>
    <w:rsid w:val="00383456"/>
    <w:rsid w:val="00383601"/>
    <w:rsid w:val="003836B5"/>
    <w:rsid w:val="003836D7"/>
    <w:rsid w:val="00383726"/>
    <w:rsid w:val="003841FF"/>
    <w:rsid w:val="00384600"/>
    <w:rsid w:val="00384752"/>
    <w:rsid w:val="00384B4F"/>
    <w:rsid w:val="00385512"/>
    <w:rsid w:val="00385790"/>
    <w:rsid w:val="003858A8"/>
    <w:rsid w:val="003858D8"/>
    <w:rsid w:val="00385A8D"/>
    <w:rsid w:val="00385BF6"/>
    <w:rsid w:val="00385C30"/>
    <w:rsid w:val="00385F51"/>
    <w:rsid w:val="003865E5"/>
    <w:rsid w:val="0038682E"/>
    <w:rsid w:val="00387026"/>
    <w:rsid w:val="00387603"/>
    <w:rsid w:val="003878AD"/>
    <w:rsid w:val="00390125"/>
    <w:rsid w:val="00390376"/>
    <w:rsid w:val="00390867"/>
    <w:rsid w:val="00390BBB"/>
    <w:rsid w:val="00390F12"/>
    <w:rsid w:val="003912BF"/>
    <w:rsid w:val="00391A04"/>
    <w:rsid w:val="00391B45"/>
    <w:rsid w:val="00391CB3"/>
    <w:rsid w:val="00391E3F"/>
    <w:rsid w:val="00391FEC"/>
    <w:rsid w:val="00392607"/>
    <w:rsid w:val="00392EB6"/>
    <w:rsid w:val="0039352C"/>
    <w:rsid w:val="0039367B"/>
    <w:rsid w:val="00393FFD"/>
    <w:rsid w:val="00394359"/>
    <w:rsid w:val="00394480"/>
    <w:rsid w:val="00394974"/>
    <w:rsid w:val="00394EFA"/>
    <w:rsid w:val="00395367"/>
    <w:rsid w:val="0039622C"/>
    <w:rsid w:val="0039665C"/>
    <w:rsid w:val="003968EA"/>
    <w:rsid w:val="00396EFF"/>
    <w:rsid w:val="00396F8B"/>
    <w:rsid w:val="003972EE"/>
    <w:rsid w:val="003A037C"/>
    <w:rsid w:val="003A0510"/>
    <w:rsid w:val="003A0680"/>
    <w:rsid w:val="003A0F0D"/>
    <w:rsid w:val="003A1392"/>
    <w:rsid w:val="003A1B70"/>
    <w:rsid w:val="003A1EA6"/>
    <w:rsid w:val="003A3100"/>
    <w:rsid w:val="003A32E4"/>
    <w:rsid w:val="003A36D7"/>
    <w:rsid w:val="003A3839"/>
    <w:rsid w:val="003A3B0F"/>
    <w:rsid w:val="003A3C1C"/>
    <w:rsid w:val="003A46E7"/>
    <w:rsid w:val="003A49C0"/>
    <w:rsid w:val="003A4FD8"/>
    <w:rsid w:val="003A5488"/>
    <w:rsid w:val="003A5AEF"/>
    <w:rsid w:val="003A5BE2"/>
    <w:rsid w:val="003A6037"/>
    <w:rsid w:val="003A6117"/>
    <w:rsid w:val="003A619A"/>
    <w:rsid w:val="003A67BC"/>
    <w:rsid w:val="003A683F"/>
    <w:rsid w:val="003A7289"/>
    <w:rsid w:val="003A7827"/>
    <w:rsid w:val="003A78AA"/>
    <w:rsid w:val="003A7BD9"/>
    <w:rsid w:val="003A7F6D"/>
    <w:rsid w:val="003B095D"/>
    <w:rsid w:val="003B0D38"/>
    <w:rsid w:val="003B10C9"/>
    <w:rsid w:val="003B1807"/>
    <w:rsid w:val="003B1BE9"/>
    <w:rsid w:val="003B252F"/>
    <w:rsid w:val="003B2702"/>
    <w:rsid w:val="003B2BF0"/>
    <w:rsid w:val="003B3EB7"/>
    <w:rsid w:val="003B3EEE"/>
    <w:rsid w:val="003B43F5"/>
    <w:rsid w:val="003B494E"/>
    <w:rsid w:val="003B4D84"/>
    <w:rsid w:val="003B51DE"/>
    <w:rsid w:val="003B5882"/>
    <w:rsid w:val="003B5B00"/>
    <w:rsid w:val="003B5CA8"/>
    <w:rsid w:val="003B61B2"/>
    <w:rsid w:val="003B625C"/>
    <w:rsid w:val="003B6279"/>
    <w:rsid w:val="003B6485"/>
    <w:rsid w:val="003B6538"/>
    <w:rsid w:val="003B67C5"/>
    <w:rsid w:val="003B6D76"/>
    <w:rsid w:val="003B70AF"/>
    <w:rsid w:val="003B76E8"/>
    <w:rsid w:val="003B7998"/>
    <w:rsid w:val="003B7B89"/>
    <w:rsid w:val="003B7E98"/>
    <w:rsid w:val="003B7EAA"/>
    <w:rsid w:val="003C02B6"/>
    <w:rsid w:val="003C051C"/>
    <w:rsid w:val="003C0E4D"/>
    <w:rsid w:val="003C1798"/>
    <w:rsid w:val="003C22F1"/>
    <w:rsid w:val="003C232B"/>
    <w:rsid w:val="003C26DE"/>
    <w:rsid w:val="003C26FC"/>
    <w:rsid w:val="003C27C6"/>
    <w:rsid w:val="003C3460"/>
    <w:rsid w:val="003C34E1"/>
    <w:rsid w:val="003C353D"/>
    <w:rsid w:val="003C35EF"/>
    <w:rsid w:val="003C3FAA"/>
    <w:rsid w:val="003C43B0"/>
    <w:rsid w:val="003C4424"/>
    <w:rsid w:val="003C475A"/>
    <w:rsid w:val="003C4824"/>
    <w:rsid w:val="003C5216"/>
    <w:rsid w:val="003C59FC"/>
    <w:rsid w:val="003C5BD0"/>
    <w:rsid w:val="003C5F5D"/>
    <w:rsid w:val="003C60C5"/>
    <w:rsid w:val="003C60E4"/>
    <w:rsid w:val="003C6114"/>
    <w:rsid w:val="003C6790"/>
    <w:rsid w:val="003C6957"/>
    <w:rsid w:val="003C6B87"/>
    <w:rsid w:val="003C754A"/>
    <w:rsid w:val="003C7AE8"/>
    <w:rsid w:val="003C7C80"/>
    <w:rsid w:val="003D0002"/>
    <w:rsid w:val="003D06D7"/>
    <w:rsid w:val="003D095B"/>
    <w:rsid w:val="003D0FD1"/>
    <w:rsid w:val="003D19AC"/>
    <w:rsid w:val="003D2484"/>
    <w:rsid w:val="003D260A"/>
    <w:rsid w:val="003D2F06"/>
    <w:rsid w:val="003D307F"/>
    <w:rsid w:val="003D30F8"/>
    <w:rsid w:val="003D381D"/>
    <w:rsid w:val="003D3D83"/>
    <w:rsid w:val="003D401B"/>
    <w:rsid w:val="003D44F0"/>
    <w:rsid w:val="003D46D6"/>
    <w:rsid w:val="003D4D1B"/>
    <w:rsid w:val="003D4F9B"/>
    <w:rsid w:val="003D5699"/>
    <w:rsid w:val="003D56D6"/>
    <w:rsid w:val="003D5AE1"/>
    <w:rsid w:val="003D5C9E"/>
    <w:rsid w:val="003D5F10"/>
    <w:rsid w:val="003D5FCE"/>
    <w:rsid w:val="003D6FE8"/>
    <w:rsid w:val="003E0431"/>
    <w:rsid w:val="003E0477"/>
    <w:rsid w:val="003E06DA"/>
    <w:rsid w:val="003E0706"/>
    <w:rsid w:val="003E090D"/>
    <w:rsid w:val="003E0932"/>
    <w:rsid w:val="003E0F2D"/>
    <w:rsid w:val="003E0FB8"/>
    <w:rsid w:val="003E1015"/>
    <w:rsid w:val="003E1062"/>
    <w:rsid w:val="003E1946"/>
    <w:rsid w:val="003E1CDB"/>
    <w:rsid w:val="003E1E77"/>
    <w:rsid w:val="003E3F30"/>
    <w:rsid w:val="003E4565"/>
    <w:rsid w:val="003E4640"/>
    <w:rsid w:val="003E4767"/>
    <w:rsid w:val="003E4C97"/>
    <w:rsid w:val="003E4F91"/>
    <w:rsid w:val="003E5241"/>
    <w:rsid w:val="003E5319"/>
    <w:rsid w:val="003E5670"/>
    <w:rsid w:val="003E5CCC"/>
    <w:rsid w:val="003E5ED5"/>
    <w:rsid w:val="003E68D6"/>
    <w:rsid w:val="003E6958"/>
    <w:rsid w:val="003E6B10"/>
    <w:rsid w:val="003E703E"/>
    <w:rsid w:val="003E7041"/>
    <w:rsid w:val="003E70DE"/>
    <w:rsid w:val="003E7771"/>
    <w:rsid w:val="003E7A25"/>
    <w:rsid w:val="003E7A58"/>
    <w:rsid w:val="003E7CB9"/>
    <w:rsid w:val="003E7EBD"/>
    <w:rsid w:val="003F0244"/>
    <w:rsid w:val="003F02EF"/>
    <w:rsid w:val="003F06C8"/>
    <w:rsid w:val="003F08A7"/>
    <w:rsid w:val="003F0B58"/>
    <w:rsid w:val="003F0CD0"/>
    <w:rsid w:val="003F1135"/>
    <w:rsid w:val="003F12F6"/>
    <w:rsid w:val="003F1469"/>
    <w:rsid w:val="003F16DD"/>
    <w:rsid w:val="003F1789"/>
    <w:rsid w:val="003F1C32"/>
    <w:rsid w:val="003F24B6"/>
    <w:rsid w:val="003F27E3"/>
    <w:rsid w:val="003F27F7"/>
    <w:rsid w:val="003F2878"/>
    <w:rsid w:val="003F29BE"/>
    <w:rsid w:val="003F2E0A"/>
    <w:rsid w:val="003F31B1"/>
    <w:rsid w:val="003F3893"/>
    <w:rsid w:val="003F3CDF"/>
    <w:rsid w:val="003F3D9A"/>
    <w:rsid w:val="003F432F"/>
    <w:rsid w:val="003F439C"/>
    <w:rsid w:val="003F440F"/>
    <w:rsid w:val="003F5016"/>
    <w:rsid w:val="003F5535"/>
    <w:rsid w:val="003F5D6C"/>
    <w:rsid w:val="003F5E2B"/>
    <w:rsid w:val="003F5E3F"/>
    <w:rsid w:val="003F607F"/>
    <w:rsid w:val="003F61C2"/>
    <w:rsid w:val="003F6BA7"/>
    <w:rsid w:val="003F6C4E"/>
    <w:rsid w:val="003F6CD8"/>
    <w:rsid w:val="003F773A"/>
    <w:rsid w:val="003F7E97"/>
    <w:rsid w:val="003F7ECF"/>
    <w:rsid w:val="0040017A"/>
    <w:rsid w:val="004005D2"/>
    <w:rsid w:val="004008C0"/>
    <w:rsid w:val="00400F48"/>
    <w:rsid w:val="0040111B"/>
    <w:rsid w:val="00401892"/>
    <w:rsid w:val="00401A45"/>
    <w:rsid w:val="00401C0F"/>
    <w:rsid w:val="00401CFA"/>
    <w:rsid w:val="00401FC3"/>
    <w:rsid w:val="00402A71"/>
    <w:rsid w:val="00402EA0"/>
    <w:rsid w:val="00402F74"/>
    <w:rsid w:val="00402FCC"/>
    <w:rsid w:val="00403449"/>
    <w:rsid w:val="004044E9"/>
    <w:rsid w:val="0040452D"/>
    <w:rsid w:val="004045B7"/>
    <w:rsid w:val="004045FC"/>
    <w:rsid w:val="0040460B"/>
    <w:rsid w:val="00404661"/>
    <w:rsid w:val="00404987"/>
    <w:rsid w:val="00404989"/>
    <w:rsid w:val="00404AEB"/>
    <w:rsid w:val="00404EEC"/>
    <w:rsid w:val="00405A76"/>
    <w:rsid w:val="0040633B"/>
    <w:rsid w:val="0040680C"/>
    <w:rsid w:val="004068FB"/>
    <w:rsid w:val="00406BB6"/>
    <w:rsid w:val="00406C16"/>
    <w:rsid w:val="00406F81"/>
    <w:rsid w:val="00410135"/>
    <w:rsid w:val="00410183"/>
    <w:rsid w:val="0041058D"/>
    <w:rsid w:val="0041062F"/>
    <w:rsid w:val="00410F1E"/>
    <w:rsid w:val="004115DB"/>
    <w:rsid w:val="00411707"/>
    <w:rsid w:val="00411CDC"/>
    <w:rsid w:val="00411DA6"/>
    <w:rsid w:val="00412E75"/>
    <w:rsid w:val="004132A0"/>
    <w:rsid w:val="00413475"/>
    <w:rsid w:val="00413487"/>
    <w:rsid w:val="00413588"/>
    <w:rsid w:val="00413B79"/>
    <w:rsid w:val="004140B1"/>
    <w:rsid w:val="004142E0"/>
    <w:rsid w:val="00414371"/>
    <w:rsid w:val="004144C1"/>
    <w:rsid w:val="00414D0F"/>
    <w:rsid w:val="00415009"/>
    <w:rsid w:val="004155EE"/>
    <w:rsid w:val="00415E7F"/>
    <w:rsid w:val="004162F5"/>
    <w:rsid w:val="00416A49"/>
    <w:rsid w:val="00416A93"/>
    <w:rsid w:val="00416F83"/>
    <w:rsid w:val="0041709B"/>
    <w:rsid w:val="00417309"/>
    <w:rsid w:val="00417A01"/>
    <w:rsid w:val="00417CD7"/>
    <w:rsid w:val="00420B3B"/>
    <w:rsid w:val="00420E44"/>
    <w:rsid w:val="00421A2E"/>
    <w:rsid w:val="00421A81"/>
    <w:rsid w:val="00421BE8"/>
    <w:rsid w:val="00421C89"/>
    <w:rsid w:val="00421ECB"/>
    <w:rsid w:val="00421F2D"/>
    <w:rsid w:val="0042240C"/>
    <w:rsid w:val="00422776"/>
    <w:rsid w:val="00423A5F"/>
    <w:rsid w:val="00423A88"/>
    <w:rsid w:val="00423CA5"/>
    <w:rsid w:val="00424474"/>
    <w:rsid w:val="00424D29"/>
    <w:rsid w:val="00425556"/>
    <w:rsid w:val="00425605"/>
    <w:rsid w:val="0042589F"/>
    <w:rsid w:val="00425D0C"/>
    <w:rsid w:val="00426208"/>
    <w:rsid w:val="00426546"/>
    <w:rsid w:val="00426726"/>
    <w:rsid w:val="004269BE"/>
    <w:rsid w:val="004269D5"/>
    <w:rsid w:val="00426E1F"/>
    <w:rsid w:val="00427B6D"/>
    <w:rsid w:val="00427B8C"/>
    <w:rsid w:val="00427D63"/>
    <w:rsid w:val="00427F5A"/>
    <w:rsid w:val="0043045B"/>
    <w:rsid w:val="00430F1D"/>
    <w:rsid w:val="004310D4"/>
    <w:rsid w:val="00431B25"/>
    <w:rsid w:val="00431C03"/>
    <w:rsid w:val="00431DC1"/>
    <w:rsid w:val="00431EC3"/>
    <w:rsid w:val="004322FD"/>
    <w:rsid w:val="00432402"/>
    <w:rsid w:val="00433516"/>
    <w:rsid w:val="004339C5"/>
    <w:rsid w:val="00433B67"/>
    <w:rsid w:val="00434B66"/>
    <w:rsid w:val="00434C24"/>
    <w:rsid w:val="00435067"/>
    <w:rsid w:val="0043536D"/>
    <w:rsid w:val="00435715"/>
    <w:rsid w:val="00436384"/>
    <w:rsid w:val="0043647C"/>
    <w:rsid w:val="0043683A"/>
    <w:rsid w:val="00436DD1"/>
    <w:rsid w:val="0043738C"/>
    <w:rsid w:val="004377AA"/>
    <w:rsid w:val="00440DC9"/>
    <w:rsid w:val="00440F64"/>
    <w:rsid w:val="00441395"/>
    <w:rsid w:val="0044180C"/>
    <w:rsid w:val="00441960"/>
    <w:rsid w:val="00441C17"/>
    <w:rsid w:val="00442368"/>
    <w:rsid w:val="0044266D"/>
    <w:rsid w:val="004426C4"/>
    <w:rsid w:val="00442AAF"/>
    <w:rsid w:val="00443083"/>
    <w:rsid w:val="00443086"/>
    <w:rsid w:val="004433B2"/>
    <w:rsid w:val="004437F0"/>
    <w:rsid w:val="00443E62"/>
    <w:rsid w:val="00443F14"/>
    <w:rsid w:val="00444641"/>
    <w:rsid w:val="0044469D"/>
    <w:rsid w:val="0044623D"/>
    <w:rsid w:val="00446DB9"/>
    <w:rsid w:val="00447094"/>
    <w:rsid w:val="00447A55"/>
    <w:rsid w:val="00447B8C"/>
    <w:rsid w:val="00447D64"/>
    <w:rsid w:val="00447EFB"/>
    <w:rsid w:val="00450499"/>
    <w:rsid w:val="00450573"/>
    <w:rsid w:val="00450DBE"/>
    <w:rsid w:val="00451091"/>
    <w:rsid w:val="0045190A"/>
    <w:rsid w:val="0045262D"/>
    <w:rsid w:val="00452B0E"/>
    <w:rsid w:val="0045301B"/>
    <w:rsid w:val="00453997"/>
    <w:rsid w:val="00453B0C"/>
    <w:rsid w:val="00453F63"/>
    <w:rsid w:val="00454558"/>
    <w:rsid w:val="00455144"/>
    <w:rsid w:val="00455F0E"/>
    <w:rsid w:val="00456257"/>
    <w:rsid w:val="004567AE"/>
    <w:rsid w:val="00456A00"/>
    <w:rsid w:val="00456C3E"/>
    <w:rsid w:val="00456EB6"/>
    <w:rsid w:val="00456F67"/>
    <w:rsid w:val="00457261"/>
    <w:rsid w:val="00457356"/>
    <w:rsid w:val="0045735C"/>
    <w:rsid w:val="004573AF"/>
    <w:rsid w:val="00457440"/>
    <w:rsid w:val="00457B1F"/>
    <w:rsid w:val="004604C6"/>
    <w:rsid w:val="00460CF1"/>
    <w:rsid w:val="00461065"/>
    <w:rsid w:val="00462442"/>
    <w:rsid w:val="00462E52"/>
    <w:rsid w:val="00462F04"/>
    <w:rsid w:val="00463280"/>
    <w:rsid w:val="00463342"/>
    <w:rsid w:val="004634F3"/>
    <w:rsid w:val="00463772"/>
    <w:rsid w:val="004642B3"/>
    <w:rsid w:val="0046432C"/>
    <w:rsid w:val="00464377"/>
    <w:rsid w:val="0046470E"/>
    <w:rsid w:val="004647AB"/>
    <w:rsid w:val="00464D30"/>
    <w:rsid w:val="00464F9E"/>
    <w:rsid w:val="004654FD"/>
    <w:rsid w:val="0046553C"/>
    <w:rsid w:val="00465893"/>
    <w:rsid w:val="00465B89"/>
    <w:rsid w:val="00466061"/>
    <w:rsid w:val="00466580"/>
    <w:rsid w:val="0046690C"/>
    <w:rsid w:val="004672E2"/>
    <w:rsid w:val="004673DF"/>
    <w:rsid w:val="00467773"/>
    <w:rsid w:val="00467853"/>
    <w:rsid w:val="004703BE"/>
    <w:rsid w:val="004707F6"/>
    <w:rsid w:val="0047088C"/>
    <w:rsid w:val="0047101E"/>
    <w:rsid w:val="00471431"/>
    <w:rsid w:val="0047167A"/>
    <w:rsid w:val="00471852"/>
    <w:rsid w:val="00472030"/>
    <w:rsid w:val="004722E8"/>
    <w:rsid w:val="0047238C"/>
    <w:rsid w:val="0047245D"/>
    <w:rsid w:val="00472606"/>
    <w:rsid w:val="00472643"/>
    <w:rsid w:val="004726F5"/>
    <w:rsid w:val="00472CEC"/>
    <w:rsid w:val="00472E4F"/>
    <w:rsid w:val="0047309E"/>
    <w:rsid w:val="00473A63"/>
    <w:rsid w:val="00474013"/>
    <w:rsid w:val="004740DC"/>
    <w:rsid w:val="004745BA"/>
    <w:rsid w:val="00474FFF"/>
    <w:rsid w:val="0047500A"/>
    <w:rsid w:val="00475242"/>
    <w:rsid w:val="00475CD2"/>
    <w:rsid w:val="00476370"/>
    <w:rsid w:val="00476621"/>
    <w:rsid w:val="00476856"/>
    <w:rsid w:val="00476D90"/>
    <w:rsid w:val="00476EF9"/>
    <w:rsid w:val="004772D8"/>
    <w:rsid w:val="00477788"/>
    <w:rsid w:val="00477AEC"/>
    <w:rsid w:val="00480815"/>
    <w:rsid w:val="00480914"/>
    <w:rsid w:val="00480A9B"/>
    <w:rsid w:val="00480D5C"/>
    <w:rsid w:val="00480F32"/>
    <w:rsid w:val="004812AA"/>
    <w:rsid w:val="00481825"/>
    <w:rsid w:val="00481B33"/>
    <w:rsid w:val="00481D54"/>
    <w:rsid w:val="00481FCB"/>
    <w:rsid w:val="004828CE"/>
    <w:rsid w:val="00483299"/>
    <w:rsid w:val="004839AA"/>
    <w:rsid w:val="00483C44"/>
    <w:rsid w:val="00483CCB"/>
    <w:rsid w:val="00484444"/>
    <w:rsid w:val="00484699"/>
    <w:rsid w:val="0048498C"/>
    <w:rsid w:val="00484AEE"/>
    <w:rsid w:val="00484B8C"/>
    <w:rsid w:val="0048526C"/>
    <w:rsid w:val="004858C0"/>
    <w:rsid w:val="00485B41"/>
    <w:rsid w:val="00486056"/>
    <w:rsid w:val="0048621D"/>
    <w:rsid w:val="004862FF"/>
    <w:rsid w:val="0048691D"/>
    <w:rsid w:val="00486DD6"/>
    <w:rsid w:val="00486E23"/>
    <w:rsid w:val="004879FB"/>
    <w:rsid w:val="00487C16"/>
    <w:rsid w:val="00487D3D"/>
    <w:rsid w:val="004901C4"/>
    <w:rsid w:val="004901D3"/>
    <w:rsid w:val="00490283"/>
    <w:rsid w:val="00490522"/>
    <w:rsid w:val="00490669"/>
    <w:rsid w:val="00490942"/>
    <w:rsid w:val="00490D4E"/>
    <w:rsid w:val="00490E27"/>
    <w:rsid w:val="00490F75"/>
    <w:rsid w:val="0049177A"/>
    <w:rsid w:val="00491AC6"/>
    <w:rsid w:val="00491E07"/>
    <w:rsid w:val="00492AD4"/>
    <w:rsid w:val="00492BA6"/>
    <w:rsid w:val="004939A6"/>
    <w:rsid w:val="00493C62"/>
    <w:rsid w:val="00493F2C"/>
    <w:rsid w:val="004956C1"/>
    <w:rsid w:val="004958CB"/>
    <w:rsid w:val="004964BE"/>
    <w:rsid w:val="00496CFD"/>
    <w:rsid w:val="00497332"/>
    <w:rsid w:val="004975C0"/>
    <w:rsid w:val="004A0150"/>
    <w:rsid w:val="004A023B"/>
    <w:rsid w:val="004A0295"/>
    <w:rsid w:val="004A0BAC"/>
    <w:rsid w:val="004A0C26"/>
    <w:rsid w:val="004A11A2"/>
    <w:rsid w:val="004A14F9"/>
    <w:rsid w:val="004A1B6E"/>
    <w:rsid w:val="004A1EB2"/>
    <w:rsid w:val="004A2312"/>
    <w:rsid w:val="004A24C6"/>
    <w:rsid w:val="004A2AFD"/>
    <w:rsid w:val="004A3243"/>
    <w:rsid w:val="004A410E"/>
    <w:rsid w:val="004A46A1"/>
    <w:rsid w:val="004A4C29"/>
    <w:rsid w:val="004A4DA8"/>
    <w:rsid w:val="004A4DF5"/>
    <w:rsid w:val="004A5223"/>
    <w:rsid w:val="004A53D1"/>
    <w:rsid w:val="004A5B72"/>
    <w:rsid w:val="004A5C9B"/>
    <w:rsid w:val="004A65A5"/>
    <w:rsid w:val="004A6FE4"/>
    <w:rsid w:val="004A74F9"/>
    <w:rsid w:val="004A75BC"/>
    <w:rsid w:val="004A7B38"/>
    <w:rsid w:val="004B00A9"/>
    <w:rsid w:val="004B0BE4"/>
    <w:rsid w:val="004B1000"/>
    <w:rsid w:val="004B1048"/>
    <w:rsid w:val="004B11A8"/>
    <w:rsid w:val="004B2046"/>
    <w:rsid w:val="004B20F5"/>
    <w:rsid w:val="004B2266"/>
    <w:rsid w:val="004B2AB6"/>
    <w:rsid w:val="004B2BF1"/>
    <w:rsid w:val="004B2DF8"/>
    <w:rsid w:val="004B2EB2"/>
    <w:rsid w:val="004B3311"/>
    <w:rsid w:val="004B344A"/>
    <w:rsid w:val="004B3A8A"/>
    <w:rsid w:val="004B3E18"/>
    <w:rsid w:val="004B3EEA"/>
    <w:rsid w:val="004B41D6"/>
    <w:rsid w:val="004B46FA"/>
    <w:rsid w:val="004B48F4"/>
    <w:rsid w:val="004B4C8C"/>
    <w:rsid w:val="004B518D"/>
    <w:rsid w:val="004B5603"/>
    <w:rsid w:val="004B5B89"/>
    <w:rsid w:val="004B5EF6"/>
    <w:rsid w:val="004B6899"/>
    <w:rsid w:val="004B6A81"/>
    <w:rsid w:val="004B6C06"/>
    <w:rsid w:val="004B76A0"/>
    <w:rsid w:val="004B7860"/>
    <w:rsid w:val="004B7E06"/>
    <w:rsid w:val="004C049C"/>
    <w:rsid w:val="004C0B41"/>
    <w:rsid w:val="004C1040"/>
    <w:rsid w:val="004C1187"/>
    <w:rsid w:val="004C1614"/>
    <w:rsid w:val="004C18F9"/>
    <w:rsid w:val="004C1A4B"/>
    <w:rsid w:val="004C1EC1"/>
    <w:rsid w:val="004C26AA"/>
    <w:rsid w:val="004C329F"/>
    <w:rsid w:val="004C3990"/>
    <w:rsid w:val="004C3E49"/>
    <w:rsid w:val="004C43F1"/>
    <w:rsid w:val="004C4995"/>
    <w:rsid w:val="004C4E77"/>
    <w:rsid w:val="004C4FF2"/>
    <w:rsid w:val="004C5715"/>
    <w:rsid w:val="004C5A8F"/>
    <w:rsid w:val="004C661E"/>
    <w:rsid w:val="004C6BA5"/>
    <w:rsid w:val="004C6F58"/>
    <w:rsid w:val="004C7515"/>
    <w:rsid w:val="004C790D"/>
    <w:rsid w:val="004C7AB4"/>
    <w:rsid w:val="004C7DE8"/>
    <w:rsid w:val="004C7E9E"/>
    <w:rsid w:val="004D0280"/>
    <w:rsid w:val="004D09BD"/>
    <w:rsid w:val="004D1255"/>
    <w:rsid w:val="004D2A7F"/>
    <w:rsid w:val="004D42DE"/>
    <w:rsid w:val="004D4500"/>
    <w:rsid w:val="004D4938"/>
    <w:rsid w:val="004D5272"/>
    <w:rsid w:val="004D564F"/>
    <w:rsid w:val="004D5DF6"/>
    <w:rsid w:val="004D6364"/>
    <w:rsid w:val="004D64A9"/>
    <w:rsid w:val="004D6B6A"/>
    <w:rsid w:val="004D7A05"/>
    <w:rsid w:val="004E04E3"/>
    <w:rsid w:val="004E0650"/>
    <w:rsid w:val="004E0EEB"/>
    <w:rsid w:val="004E113C"/>
    <w:rsid w:val="004E1173"/>
    <w:rsid w:val="004E11E5"/>
    <w:rsid w:val="004E13D7"/>
    <w:rsid w:val="004E147E"/>
    <w:rsid w:val="004E2137"/>
    <w:rsid w:val="004E21E7"/>
    <w:rsid w:val="004E2602"/>
    <w:rsid w:val="004E280C"/>
    <w:rsid w:val="004E2D89"/>
    <w:rsid w:val="004E2F2C"/>
    <w:rsid w:val="004E306E"/>
    <w:rsid w:val="004E3FB3"/>
    <w:rsid w:val="004E4588"/>
    <w:rsid w:val="004E472D"/>
    <w:rsid w:val="004E48D0"/>
    <w:rsid w:val="004E4ACB"/>
    <w:rsid w:val="004E4ECA"/>
    <w:rsid w:val="004E5179"/>
    <w:rsid w:val="004E5685"/>
    <w:rsid w:val="004E59A1"/>
    <w:rsid w:val="004E5F96"/>
    <w:rsid w:val="004E64C0"/>
    <w:rsid w:val="004E662F"/>
    <w:rsid w:val="004E6C1B"/>
    <w:rsid w:val="004E71DA"/>
    <w:rsid w:val="004E7463"/>
    <w:rsid w:val="004E7682"/>
    <w:rsid w:val="004E7691"/>
    <w:rsid w:val="004E7761"/>
    <w:rsid w:val="004E7A62"/>
    <w:rsid w:val="004E7E0B"/>
    <w:rsid w:val="004E7FB5"/>
    <w:rsid w:val="004F0F3D"/>
    <w:rsid w:val="004F11A7"/>
    <w:rsid w:val="004F131B"/>
    <w:rsid w:val="004F1981"/>
    <w:rsid w:val="004F22ED"/>
    <w:rsid w:val="004F2BDC"/>
    <w:rsid w:val="004F3120"/>
    <w:rsid w:val="004F3988"/>
    <w:rsid w:val="004F3C6B"/>
    <w:rsid w:val="004F488C"/>
    <w:rsid w:val="004F4BF4"/>
    <w:rsid w:val="004F4E3C"/>
    <w:rsid w:val="004F56DC"/>
    <w:rsid w:val="004F60C2"/>
    <w:rsid w:val="004F63DE"/>
    <w:rsid w:val="004F7549"/>
    <w:rsid w:val="004F7F4C"/>
    <w:rsid w:val="0050008D"/>
    <w:rsid w:val="005002F3"/>
    <w:rsid w:val="00500C6D"/>
    <w:rsid w:val="00500D25"/>
    <w:rsid w:val="00500D34"/>
    <w:rsid w:val="00500D76"/>
    <w:rsid w:val="00501070"/>
    <w:rsid w:val="005013AD"/>
    <w:rsid w:val="005014B2"/>
    <w:rsid w:val="005017FB"/>
    <w:rsid w:val="00502106"/>
    <w:rsid w:val="00502326"/>
    <w:rsid w:val="0050244E"/>
    <w:rsid w:val="00502E4A"/>
    <w:rsid w:val="00503010"/>
    <w:rsid w:val="00503380"/>
    <w:rsid w:val="00503878"/>
    <w:rsid w:val="00503E0E"/>
    <w:rsid w:val="00503E1E"/>
    <w:rsid w:val="00504129"/>
    <w:rsid w:val="00504520"/>
    <w:rsid w:val="00504C71"/>
    <w:rsid w:val="00504E60"/>
    <w:rsid w:val="005052C3"/>
    <w:rsid w:val="00505A4E"/>
    <w:rsid w:val="00505ABB"/>
    <w:rsid w:val="00506062"/>
    <w:rsid w:val="005061C0"/>
    <w:rsid w:val="0050629B"/>
    <w:rsid w:val="005066F5"/>
    <w:rsid w:val="00506824"/>
    <w:rsid w:val="00506C7B"/>
    <w:rsid w:val="00506FE5"/>
    <w:rsid w:val="00507391"/>
    <w:rsid w:val="0050764A"/>
    <w:rsid w:val="00507B21"/>
    <w:rsid w:val="00507FBC"/>
    <w:rsid w:val="0051080F"/>
    <w:rsid w:val="00510A96"/>
    <w:rsid w:val="00510DF1"/>
    <w:rsid w:val="0051147C"/>
    <w:rsid w:val="00511DEE"/>
    <w:rsid w:val="00511F91"/>
    <w:rsid w:val="00512929"/>
    <w:rsid w:val="00512A54"/>
    <w:rsid w:val="00514193"/>
    <w:rsid w:val="00514675"/>
    <w:rsid w:val="005147C1"/>
    <w:rsid w:val="00514809"/>
    <w:rsid w:val="00514C94"/>
    <w:rsid w:val="00514EE7"/>
    <w:rsid w:val="00515224"/>
    <w:rsid w:val="0051584D"/>
    <w:rsid w:val="00515AA4"/>
    <w:rsid w:val="00516594"/>
    <w:rsid w:val="00516AD7"/>
    <w:rsid w:val="00516BCA"/>
    <w:rsid w:val="0051733A"/>
    <w:rsid w:val="005173B8"/>
    <w:rsid w:val="005176CC"/>
    <w:rsid w:val="00517FE0"/>
    <w:rsid w:val="005207BD"/>
    <w:rsid w:val="00520E4B"/>
    <w:rsid w:val="005211C5"/>
    <w:rsid w:val="00521AFD"/>
    <w:rsid w:val="00521CDA"/>
    <w:rsid w:val="00521F7C"/>
    <w:rsid w:val="0052222F"/>
    <w:rsid w:val="0052223B"/>
    <w:rsid w:val="00522507"/>
    <w:rsid w:val="00523466"/>
    <w:rsid w:val="005238EA"/>
    <w:rsid w:val="005244A7"/>
    <w:rsid w:val="00524784"/>
    <w:rsid w:val="0052485F"/>
    <w:rsid w:val="00524D61"/>
    <w:rsid w:val="00524F56"/>
    <w:rsid w:val="00524F6B"/>
    <w:rsid w:val="00524FD9"/>
    <w:rsid w:val="0052502A"/>
    <w:rsid w:val="00525749"/>
    <w:rsid w:val="00525BF9"/>
    <w:rsid w:val="00525CB5"/>
    <w:rsid w:val="00525F3A"/>
    <w:rsid w:val="005262C0"/>
    <w:rsid w:val="0052632D"/>
    <w:rsid w:val="00526368"/>
    <w:rsid w:val="00526392"/>
    <w:rsid w:val="0052649C"/>
    <w:rsid w:val="005270D4"/>
    <w:rsid w:val="005278A5"/>
    <w:rsid w:val="005279A5"/>
    <w:rsid w:val="00527E4B"/>
    <w:rsid w:val="00530095"/>
    <w:rsid w:val="005308D7"/>
    <w:rsid w:val="00530CDD"/>
    <w:rsid w:val="00530FEE"/>
    <w:rsid w:val="0053164D"/>
    <w:rsid w:val="005321FB"/>
    <w:rsid w:val="00532565"/>
    <w:rsid w:val="00532782"/>
    <w:rsid w:val="00532E04"/>
    <w:rsid w:val="00532E47"/>
    <w:rsid w:val="00532E52"/>
    <w:rsid w:val="005331EE"/>
    <w:rsid w:val="0053320E"/>
    <w:rsid w:val="00533608"/>
    <w:rsid w:val="005339C7"/>
    <w:rsid w:val="005348BD"/>
    <w:rsid w:val="00534D9B"/>
    <w:rsid w:val="00534F6E"/>
    <w:rsid w:val="00535191"/>
    <w:rsid w:val="0053565C"/>
    <w:rsid w:val="00536711"/>
    <w:rsid w:val="00536A18"/>
    <w:rsid w:val="00537137"/>
    <w:rsid w:val="0053717B"/>
    <w:rsid w:val="00537A1B"/>
    <w:rsid w:val="00540735"/>
    <w:rsid w:val="00540DF3"/>
    <w:rsid w:val="00541702"/>
    <w:rsid w:val="00541851"/>
    <w:rsid w:val="00541B05"/>
    <w:rsid w:val="00541BF4"/>
    <w:rsid w:val="00542B60"/>
    <w:rsid w:val="00542EC3"/>
    <w:rsid w:val="00542EDA"/>
    <w:rsid w:val="005430F3"/>
    <w:rsid w:val="00543362"/>
    <w:rsid w:val="005439B1"/>
    <w:rsid w:val="00543C32"/>
    <w:rsid w:val="00544092"/>
    <w:rsid w:val="00544D81"/>
    <w:rsid w:val="0054538A"/>
    <w:rsid w:val="005455A6"/>
    <w:rsid w:val="00545936"/>
    <w:rsid w:val="00545AA2"/>
    <w:rsid w:val="00545F69"/>
    <w:rsid w:val="00545FAD"/>
    <w:rsid w:val="00546313"/>
    <w:rsid w:val="00546E56"/>
    <w:rsid w:val="005471A1"/>
    <w:rsid w:val="005475BC"/>
    <w:rsid w:val="005475DD"/>
    <w:rsid w:val="00547FC6"/>
    <w:rsid w:val="00550797"/>
    <w:rsid w:val="005508F0"/>
    <w:rsid w:val="005509AA"/>
    <w:rsid w:val="00550C37"/>
    <w:rsid w:val="00550FBA"/>
    <w:rsid w:val="005510AA"/>
    <w:rsid w:val="00551191"/>
    <w:rsid w:val="0055155B"/>
    <w:rsid w:val="00551B27"/>
    <w:rsid w:val="00551D35"/>
    <w:rsid w:val="00551EE5"/>
    <w:rsid w:val="005520CD"/>
    <w:rsid w:val="00552167"/>
    <w:rsid w:val="0055216A"/>
    <w:rsid w:val="00552771"/>
    <w:rsid w:val="005529BC"/>
    <w:rsid w:val="00552C8F"/>
    <w:rsid w:val="00553293"/>
    <w:rsid w:val="005532F8"/>
    <w:rsid w:val="00553532"/>
    <w:rsid w:val="005535AF"/>
    <w:rsid w:val="00553830"/>
    <w:rsid w:val="00553C32"/>
    <w:rsid w:val="00553DC0"/>
    <w:rsid w:val="00553F07"/>
    <w:rsid w:val="00554274"/>
    <w:rsid w:val="005549FE"/>
    <w:rsid w:val="00554A5F"/>
    <w:rsid w:val="005552FE"/>
    <w:rsid w:val="005557C0"/>
    <w:rsid w:val="00555F4C"/>
    <w:rsid w:val="00555F9B"/>
    <w:rsid w:val="00556068"/>
    <w:rsid w:val="00556134"/>
    <w:rsid w:val="005563F9"/>
    <w:rsid w:val="005567D0"/>
    <w:rsid w:val="005568AF"/>
    <w:rsid w:val="00556A48"/>
    <w:rsid w:val="0055718E"/>
    <w:rsid w:val="005571E2"/>
    <w:rsid w:val="005578D1"/>
    <w:rsid w:val="00557ACC"/>
    <w:rsid w:val="00557C20"/>
    <w:rsid w:val="00560ADA"/>
    <w:rsid w:val="005613FD"/>
    <w:rsid w:val="005615C4"/>
    <w:rsid w:val="0056176F"/>
    <w:rsid w:val="005621F1"/>
    <w:rsid w:val="005622D2"/>
    <w:rsid w:val="005623FD"/>
    <w:rsid w:val="00562413"/>
    <w:rsid w:val="00562561"/>
    <w:rsid w:val="0056365C"/>
    <w:rsid w:val="00563819"/>
    <w:rsid w:val="0056386A"/>
    <w:rsid w:val="00563A92"/>
    <w:rsid w:val="00564BEE"/>
    <w:rsid w:val="005657D6"/>
    <w:rsid w:val="00566A3C"/>
    <w:rsid w:val="00566BEC"/>
    <w:rsid w:val="00566E0A"/>
    <w:rsid w:val="00567D90"/>
    <w:rsid w:val="00567DB9"/>
    <w:rsid w:val="00567DDD"/>
    <w:rsid w:val="00570722"/>
    <w:rsid w:val="00570AB2"/>
    <w:rsid w:val="00570CD9"/>
    <w:rsid w:val="00571883"/>
    <w:rsid w:val="00571A28"/>
    <w:rsid w:val="00571BE2"/>
    <w:rsid w:val="0057283B"/>
    <w:rsid w:val="005730EC"/>
    <w:rsid w:val="00573D39"/>
    <w:rsid w:val="00573E4E"/>
    <w:rsid w:val="005745C6"/>
    <w:rsid w:val="00574E17"/>
    <w:rsid w:val="0057563F"/>
    <w:rsid w:val="00575A7E"/>
    <w:rsid w:val="00575D41"/>
    <w:rsid w:val="00575DEB"/>
    <w:rsid w:val="00576AE5"/>
    <w:rsid w:val="005772BE"/>
    <w:rsid w:val="00577C21"/>
    <w:rsid w:val="00580357"/>
    <w:rsid w:val="005803A4"/>
    <w:rsid w:val="005805AF"/>
    <w:rsid w:val="005812A4"/>
    <w:rsid w:val="00581338"/>
    <w:rsid w:val="005814BB"/>
    <w:rsid w:val="00581512"/>
    <w:rsid w:val="005819E6"/>
    <w:rsid w:val="00581E16"/>
    <w:rsid w:val="00582774"/>
    <w:rsid w:val="00582B32"/>
    <w:rsid w:val="00582B63"/>
    <w:rsid w:val="00582DAA"/>
    <w:rsid w:val="00583D55"/>
    <w:rsid w:val="005843BD"/>
    <w:rsid w:val="00584762"/>
    <w:rsid w:val="00584E68"/>
    <w:rsid w:val="00584FA9"/>
    <w:rsid w:val="00585506"/>
    <w:rsid w:val="005857A7"/>
    <w:rsid w:val="005858A3"/>
    <w:rsid w:val="00585975"/>
    <w:rsid w:val="0058606E"/>
    <w:rsid w:val="00586309"/>
    <w:rsid w:val="005865B1"/>
    <w:rsid w:val="005865F3"/>
    <w:rsid w:val="00586756"/>
    <w:rsid w:val="00586852"/>
    <w:rsid w:val="00586A15"/>
    <w:rsid w:val="00586ED1"/>
    <w:rsid w:val="005873E4"/>
    <w:rsid w:val="005901E1"/>
    <w:rsid w:val="00590CDA"/>
    <w:rsid w:val="005912A3"/>
    <w:rsid w:val="005921E4"/>
    <w:rsid w:val="005929DD"/>
    <w:rsid w:val="00592A6C"/>
    <w:rsid w:val="00592B96"/>
    <w:rsid w:val="00593D67"/>
    <w:rsid w:val="00594395"/>
    <w:rsid w:val="00594957"/>
    <w:rsid w:val="005950FA"/>
    <w:rsid w:val="00595FAC"/>
    <w:rsid w:val="0059612B"/>
    <w:rsid w:val="0059634A"/>
    <w:rsid w:val="0059690B"/>
    <w:rsid w:val="00596974"/>
    <w:rsid w:val="00596BBB"/>
    <w:rsid w:val="00597011"/>
    <w:rsid w:val="00597420"/>
    <w:rsid w:val="00597845"/>
    <w:rsid w:val="005A00B4"/>
    <w:rsid w:val="005A00E0"/>
    <w:rsid w:val="005A071B"/>
    <w:rsid w:val="005A094B"/>
    <w:rsid w:val="005A0B34"/>
    <w:rsid w:val="005A0D9C"/>
    <w:rsid w:val="005A1528"/>
    <w:rsid w:val="005A1E14"/>
    <w:rsid w:val="005A2076"/>
    <w:rsid w:val="005A2255"/>
    <w:rsid w:val="005A24EB"/>
    <w:rsid w:val="005A2CAB"/>
    <w:rsid w:val="005A3173"/>
    <w:rsid w:val="005A4262"/>
    <w:rsid w:val="005A42A3"/>
    <w:rsid w:val="005A43F0"/>
    <w:rsid w:val="005A461E"/>
    <w:rsid w:val="005A4F50"/>
    <w:rsid w:val="005A520B"/>
    <w:rsid w:val="005A5765"/>
    <w:rsid w:val="005A603A"/>
    <w:rsid w:val="005A6B93"/>
    <w:rsid w:val="005A75CA"/>
    <w:rsid w:val="005A79D8"/>
    <w:rsid w:val="005A7C82"/>
    <w:rsid w:val="005B0509"/>
    <w:rsid w:val="005B12C4"/>
    <w:rsid w:val="005B1961"/>
    <w:rsid w:val="005B1DCD"/>
    <w:rsid w:val="005B1F65"/>
    <w:rsid w:val="005B248D"/>
    <w:rsid w:val="005B2859"/>
    <w:rsid w:val="005B2D20"/>
    <w:rsid w:val="005B2E98"/>
    <w:rsid w:val="005B2F06"/>
    <w:rsid w:val="005B32EE"/>
    <w:rsid w:val="005B3D9B"/>
    <w:rsid w:val="005B433E"/>
    <w:rsid w:val="005B44F6"/>
    <w:rsid w:val="005B472E"/>
    <w:rsid w:val="005B4A37"/>
    <w:rsid w:val="005B572B"/>
    <w:rsid w:val="005B5737"/>
    <w:rsid w:val="005B5B15"/>
    <w:rsid w:val="005B5D3E"/>
    <w:rsid w:val="005B65DB"/>
    <w:rsid w:val="005B768C"/>
    <w:rsid w:val="005B783E"/>
    <w:rsid w:val="005B7AD5"/>
    <w:rsid w:val="005C054F"/>
    <w:rsid w:val="005C0898"/>
    <w:rsid w:val="005C095F"/>
    <w:rsid w:val="005C0CDF"/>
    <w:rsid w:val="005C193D"/>
    <w:rsid w:val="005C2418"/>
    <w:rsid w:val="005C2472"/>
    <w:rsid w:val="005C2929"/>
    <w:rsid w:val="005C2EEE"/>
    <w:rsid w:val="005C31CA"/>
    <w:rsid w:val="005C4220"/>
    <w:rsid w:val="005C44F2"/>
    <w:rsid w:val="005C46E7"/>
    <w:rsid w:val="005C4751"/>
    <w:rsid w:val="005C48F0"/>
    <w:rsid w:val="005C4954"/>
    <w:rsid w:val="005C4CA7"/>
    <w:rsid w:val="005C4D48"/>
    <w:rsid w:val="005C4DF3"/>
    <w:rsid w:val="005C503B"/>
    <w:rsid w:val="005C51B8"/>
    <w:rsid w:val="005C5552"/>
    <w:rsid w:val="005C584B"/>
    <w:rsid w:val="005C612F"/>
    <w:rsid w:val="005C6CEA"/>
    <w:rsid w:val="005C72BF"/>
    <w:rsid w:val="005C7B6C"/>
    <w:rsid w:val="005C7C80"/>
    <w:rsid w:val="005D06BA"/>
    <w:rsid w:val="005D0732"/>
    <w:rsid w:val="005D095A"/>
    <w:rsid w:val="005D15D8"/>
    <w:rsid w:val="005D1994"/>
    <w:rsid w:val="005D1DE4"/>
    <w:rsid w:val="005D1E64"/>
    <w:rsid w:val="005D2189"/>
    <w:rsid w:val="005D2669"/>
    <w:rsid w:val="005D2A3A"/>
    <w:rsid w:val="005D30E3"/>
    <w:rsid w:val="005D31A1"/>
    <w:rsid w:val="005D3352"/>
    <w:rsid w:val="005D3A4E"/>
    <w:rsid w:val="005D3B92"/>
    <w:rsid w:val="005D3F49"/>
    <w:rsid w:val="005D400F"/>
    <w:rsid w:val="005D4549"/>
    <w:rsid w:val="005D46DF"/>
    <w:rsid w:val="005D4760"/>
    <w:rsid w:val="005D47CC"/>
    <w:rsid w:val="005D4861"/>
    <w:rsid w:val="005D5052"/>
    <w:rsid w:val="005D51F8"/>
    <w:rsid w:val="005D5463"/>
    <w:rsid w:val="005D55C5"/>
    <w:rsid w:val="005D5AA7"/>
    <w:rsid w:val="005D5B12"/>
    <w:rsid w:val="005D5EB2"/>
    <w:rsid w:val="005D5FB9"/>
    <w:rsid w:val="005D607B"/>
    <w:rsid w:val="005D61F9"/>
    <w:rsid w:val="005D71EC"/>
    <w:rsid w:val="005D7739"/>
    <w:rsid w:val="005D79A2"/>
    <w:rsid w:val="005D7AE8"/>
    <w:rsid w:val="005D7C06"/>
    <w:rsid w:val="005D7D82"/>
    <w:rsid w:val="005D7F85"/>
    <w:rsid w:val="005E00C2"/>
    <w:rsid w:val="005E018E"/>
    <w:rsid w:val="005E07C5"/>
    <w:rsid w:val="005E0970"/>
    <w:rsid w:val="005E0C2F"/>
    <w:rsid w:val="005E125F"/>
    <w:rsid w:val="005E1E17"/>
    <w:rsid w:val="005E2234"/>
    <w:rsid w:val="005E23A2"/>
    <w:rsid w:val="005E23EF"/>
    <w:rsid w:val="005E2FA3"/>
    <w:rsid w:val="005E3376"/>
    <w:rsid w:val="005E38A9"/>
    <w:rsid w:val="005E3A1C"/>
    <w:rsid w:val="005E3D9C"/>
    <w:rsid w:val="005E3EE9"/>
    <w:rsid w:val="005E40EE"/>
    <w:rsid w:val="005E435D"/>
    <w:rsid w:val="005E4694"/>
    <w:rsid w:val="005E52A5"/>
    <w:rsid w:val="005E52D9"/>
    <w:rsid w:val="005E5953"/>
    <w:rsid w:val="005E60FF"/>
    <w:rsid w:val="005E728F"/>
    <w:rsid w:val="005E7825"/>
    <w:rsid w:val="005E7A9A"/>
    <w:rsid w:val="005E7EC3"/>
    <w:rsid w:val="005E7FB1"/>
    <w:rsid w:val="005F0197"/>
    <w:rsid w:val="005F0E11"/>
    <w:rsid w:val="005F0EDD"/>
    <w:rsid w:val="005F1090"/>
    <w:rsid w:val="005F224D"/>
    <w:rsid w:val="005F26ED"/>
    <w:rsid w:val="005F2BB2"/>
    <w:rsid w:val="005F2C9D"/>
    <w:rsid w:val="005F382E"/>
    <w:rsid w:val="005F3DD5"/>
    <w:rsid w:val="005F401B"/>
    <w:rsid w:val="005F4988"/>
    <w:rsid w:val="005F5A90"/>
    <w:rsid w:val="005F663B"/>
    <w:rsid w:val="005F685A"/>
    <w:rsid w:val="005F70FB"/>
    <w:rsid w:val="005F73AA"/>
    <w:rsid w:val="005F7791"/>
    <w:rsid w:val="005F79FD"/>
    <w:rsid w:val="005F7AF1"/>
    <w:rsid w:val="00600042"/>
    <w:rsid w:val="0060066A"/>
    <w:rsid w:val="00600BC2"/>
    <w:rsid w:val="00600CD6"/>
    <w:rsid w:val="00601178"/>
    <w:rsid w:val="006016CA"/>
    <w:rsid w:val="00601937"/>
    <w:rsid w:val="00601BB6"/>
    <w:rsid w:val="00601F46"/>
    <w:rsid w:val="00601FA2"/>
    <w:rsid w:val="006020DE"/>
    <w:rsid w:val="00602103"/>
    <w:rsid w:val="006029D8"/>
    <w:rsid w:val="00602FFC"/>
    <w:rsid w:val="006031A6"/>
    <w:rsid w:val="00603D40"/>
    <w:rsid w:val="00603FAA"/>
    <w:rsid w:val="00604382"/>
    <w:rsid w:val="006048FD"/>
    <w:rsid w:val="00604B0E"/>
    <w:rsid w:val="00604F54"/>
    <w:rsid w:val="00605003"/>
    <w:rsid w:val="006052EF"/>
    <w:rsid w:val="006056AD"/>
    <w:rsid w:val="00605DCB"/>
    <w:rsid w:val="00606306"/>
    <w:rsid w:val="0060659C"/>
    <w:rsid w:val="006067F5"/>
    <w:rsid w:val="00606BF4"/>
    <w:rsid w:val="00606FF0"/>
    <w:rsid w:val="00607212"/>
    <w:rsid w:val="0060747F"/>
    <w:rsid w:val="0060796C"/>
    <w:rsid w:val="00607A48"/>
    <w:rsid w:val="00610488"/>
    <w:rsid w:val="00610DA6"/>
    <w:rsid w:val="006110B7"/>
    <w:rsid w:val="00611A9E"/>
    <w:rsid w:val="00612099"/>
    <w:rsid w:val="0061220E"/>
    <w:rsid w:val="0061221B"/>
    <w:rsid w:val="006129CB"/>
    <w:rsid w:val="00613375"/>
    <w:rsid w:val="00613380"/>
    <w:rsid w:val="00613D35"/>
    <w:rsid w:val="00614A7A"/>
    <w:rsid w:val="00614E20"/>
    <w:rsid w:val="0061516E"/>
    <w:rsid w:val="006151BF"/>
    <w:rsid w:val="00615579"/>
    <w:rsid w:val="0061571B"/>
    <w:rsid w:val="006157C6"/>
    <w:rsid w:val="00616850"/>
    <w:rsid w:val="00616BAF"/>
    <w:rsid w:val="00616E9C"/>
    <w:rsid w:val="00616FEE"/>
    <w:rsid w:val="006175BF"/>
    <w:rsid w:val="0061799D"/>
    <w:rsid w:val="00617AA9"/>
    <w:rsid w:val="00620556"/>
    <w:rsid w:val="00620980"/>
    <w:rsid w:val="00620E5C"/>
    <w:rsid w:val="00620EC0"/>
    <w:rsid w:val="0062111B"/>
    <w:rsid w:val="00621183"/>
    <w:rsid w:val="006213A7"/>
    <w:rsid w:val="006213DB"/>
    <w:rsid w:val="00621611"/>
    <w:rsid w:val="00621635"/>
    <w:rsid w:val="00621723"/>
    <w:rsid w:val="00621CF4"/>
    <w:rsid w:val="00621F47"/>
    <w:rsid w:val="00622B98"/>
    <w:rsid w:val="00623214"/>
    <w:rsid w:val="006234C1"/>
    <w:rsid w:val="006234F8"/>
    <w:rsid w:val="006237A4"/>
    <w:rsid w:val="00623A7B"/>
    <w:rsid w:val="00623AA6"/>
    <w:rsid w:val="00623FB9"/>
    <w:rsid w:val="00624F1A"/>
    <w:rsid w:val="006252EC"/>
    <w:rsid w:val="0062539C"/>
    <w:rsid w:val="006254A5"/>
    <w:rsid w:val="0062571C"/>
    <w:rsid w:val="00625746"/>
    <w:rsid w:val="00625766"/>
    <w:rsid w:val="00625A1D"/>
    <w:rsid w:val="00625A77"/>
    <w:rsid w:val="00625B98"/>
    <w:rsid w:val="00625E1D"/>
    <w:rsid w:val="00625FC9"/>
    <w:rsid w:val="00626148"/>
    <w:rsid w:val="00626A2F"/>
    <w:rsid w:val="00627082"/>
    <w:rsid w:val="00627283"/>
    <w:rsid w:val="006272DC"/>
    <w:rsid w:val="0062776D"/>
    <w:rsid w:val="0063070B"/>
    <w:rsid w:val="00631473"/>
    <w:rsid w:val="00631B32"/>
    <w:rsid w:val="006321DD"/>
    <w:rsid w:val="006326BE"/>
    <w:rsid w:val="00632C42"/>
    <w:rsid w:val="00633035"/>
    <w:rsid w:val="006331E9"/>
    <w:rsid w:val="006334CF"/>
    <w:rsid w:val="006338CD"/>
    <w:rsid w:val="00633988"/>
    <w:rsid w:val="00633CFF"/>
    <w:rsid w:val="00633DE9"/>
    <w:rsid w:val="00633F2B"/>
    <w:rsid w:val="0063406F"/>
    <w:rsid w:val="006342D1"/>
    <w:rsid w:val="0063483C"/>
    <w:rsid w:val="00635F72"/>
    <w:rsid w:val="006362B4"/>
    <w:rsid w:val="00636975"/>
    <w:rsid w:val="006374A9"/>
    <w:rsid w:val="006376E7"/>
    <w:rsid w:val="006378F9"/>
    <w:rsid w:val="006379B9"/>
    <w:rsid w:val="00637B5E"/>
    <w:rsid w:val="00637CA4"/>
    <w:rsid w:val="00640032"/>
    <w:rsid w:val="00640612"/>
    <w:rsid w:val="00640978"/>
    <w:rsid w:val="006415AD"/>
    <w:rsid w:val="00641D4D"/>
    <w:rsid w:val="00642D04"/>
    <w:rsid w:val="0064304F"/>
    <w:rsid w:val="006433DB"/>
    <w:rsid w:val="00643576"/>
    <w:rsid w:val="00643A3F"/>
    <w:rsid w:val="0064481F"/>
    <w:rsid w:val="00645BE5"/>
    <w:rsid w:val="006463E3"/>
    <w:rsid w:val="0064640A"/>
    <w:rsid w:val="0064700F"/>
    <w:rsid w:val="00647392"/>
    <w:rsid w:val="00647732"/>
    <w:rsid w:val="006477DB"/>
    <w:rsid w:val="00647A61"/>
    <w:rsid w:val="00647DC8"/>
    <w:rsid w:val="0065008D"/>
    <w:rsid w:val="006501CF"/>
    <w:rsid w:val="00650E7A"/>
    <w:rsid w:val="00651AA1"/>
    <w:rsid w:val="00651D35"/>
    <w:rsid w:val="00651E1B"/>
    <w:rsid w:val="0065201C"/>
    <w:rsid w:val="0065211A"/>
    <w:rsid w:val="0065238F"/>
    <w:rsid w:val="006525D2"/>
    <w:rsid w:val="00652BEA"/>
    <w:rsid w:val="00652DF9"/>
    <w:rsid w:val="006532D9"/>
    <w:rsid w:val="006533F8"/>
    <w:rsid w:val="0065359E"/>
    <w:rsid w:val="006538CE"/>
    <w:rsid w:val="00653A9E"/>
    <w:rsid w:val="0065478C"/>
    <w:rsid w:val="00654979"/>
    <w:rsid w:val="006559BA"/>
    <w:rsid w:val="00655AFA"/>
    <w:rsid w:val="00655B7C"/>
    <w:rsid w:val="0065634F"/>
    <w:rsid w:val="0065658E"/>
    <w:rsid w:val="00656655"/>
    <w:rsid w:val="006566EE"/>
    <w:rsid w:val="00657006"/>
    <w:rsid w:val="00657680"/>
    <w:rsid w:val="00657AEA"/>
    <w:rsid w:val="00657BC6"/>
    <w:rsid w:val="00657BF3"/>
    <w:rsid w:val="00657CE8"/>
    <w:rsid w:val="00657DCF"/>
    <w:rsid w:val="00660145"/>
    <w:rsid w:val="0066069B"/>
    <w:rsid w:val="006606E4"/>
    <w:rsid w:val="00660996"/>
    <w:rsid w:val="00660E5D"/>
    <w:rsid w:val="00661A2E"/>
    <w:rsid w:val="00662693"/>
    <w:rsid w:val="006626C0"/>
    <w:rsid w:val="006629DF"/>
    <w:rsid w:val="00662A99"/>
    <w:rsid w:val="00662C3F"/>
    <w:rsid w:val="006634D6"/>
    <w:rsid w:val="006634FF"/>
    <w:rsid w:val="006637B9"/>
    <w:rsid w:val="00663985"/>
    <w:rsid w:val="00663A4F"/>
    <w:rsid w:val="00663C20"/>
    <w:rsid w:val="006644C5"/>
    <w:rsid w:val="00664FC4"/>
    <w:rsid w:val="006652B6"/>
    <w:rsid w:val="006658AE"/>
    <w:rsid w:val="006660DB"/>
    <w:rsid w:val="00666956"/>
    <w:rsid w:val="00666A0E"/>
    <w:rsid w:val="00666B28"/>
    <w:rsid w:val="00666BC0"/>
    <w:rsid w:val="00666FC4"/>
    <w:rsid w:val="0066723C"/>
    <w:rsid w:val="006674A2"/>
    <w:rsid w:val="006679F1"/>
    <w:rsid w:val="00667F45"/>
    <w:rsid w:val="00667F9F"/>
    <w:rsid w:val="006703DC"/>
    <w:rsid w:val="006707CB"/>
    <w:rsid w:val="00670CBC"/>
    <w:rsid w:val="00671059"/>
    <w:rsid w:val="00671436"/>
    <w:rsid w:val="00671721"/>
    <w:rsid w:val="00671E6F"/>
    <w:rsid w:val="00672DF2"/>
    <w:rsid w:val="006730A9"/>
    <w:rsid w:val="00673B5F"/>
    <w:rsid w:val="006741C3"/>
    <w:rsid w:val="00674859"/>
    <w:rsid w:val="006748CD"/>
    <w:rsid w:val="00674BB0"/>
    <w:rsid w:val="00674F55"/>
    <w:rsid w:val="00675700"/>
    <w:rsid w:val="00676249"/>
    <w:rsid w:val="006765CE"/>
    <w:rsid w:val="006769B5"/>
    <w:rsid w:val="006769E2"/>
    <w:rsid w:val="00676A57"/>
    <w:rsid w:val="00676CAC"/>
    <w:rsid w:val="00677AC7"/>
    <w:rsid w:val="00677B35"/>
    <w:rsid w:val="00677B9E"/>
    <w:rsid w:val="006801BB"/>
    <w:rsid w:val="006801E2"/>
    <w:rsid w:val="00680C66"/>
    <w:rsid w:val="00680E65"/>
    <w:rsid w:val="00680F12"/>
    <w:rsid w:val="00681172"/>
    <w:rsid w:val="006812F3"/>
    <w:rsid w:val="00681623"/>
    <w:rsid w:val="00681838"/>
    <w:rsid w:val="00681CE4"/>
    <w:rsid w:val="00681FC5"/>
    <w:rsid w:val="006824A9"/>
    <w:rsid w:val="006826BF"/>
    <w:rsid w:val="00682A3E"/>
    <w:rsid w:val="00682FF1"/>
    <w:rsid w:val="00683AFB"/>
    <w:rsid w:val="00683D7D"/>
    <w:rsid w:val="00683E4C"/>
    <w:rsid w:val="0068418D"/>
    <w:rsid w:val="00684AA1"/>
    <w:rsid w:val="00684F7B"/>
    <w:rsid w:val="0068514D"/>
    <w:rsid w:val="00685484"/>
    <w:rsid w:val="00685FCB"/>
    <w:rsid w:val="006860BC"/>
    <w:rsid w:val="006867A1"/>
    <w:rsid w:val="006867EE"/>
    <w:rsid w:val="006875DB"/>
    <w:rsid w:val="00687A3C"/>
    <w:rsid w:val="00687BD7"/>
    <w:rsid w:val="00687E8B"/>
    <w:rsid w:val="00687F71"/>
    <w:rsid w:val="006904D6"/>
    <w:rsid w:val="006906E6"/>
    <w:rsid w:val="0069099D"/>
    <w:rsid w:val="00690A45"/>
    <w:rsid w:val="00690D1C"/>
    <w:rsid w:val="00690E78"/>
    <w:rsid w:val="00691C9C"/>
    <w:rsid w:val="0069294C"/>
    <w:rsid w:val="00692C93"/>
    <w:rsid w:val="0069367E"/>
    <w:rsid w:val="0069376F"/>
    <w:rsid w:val="00693B01"/>
    <w:rsid w:val="00694B8E"/>
    <w:rsid w:val="00694D2E"/>
    <w:rsid w:val="00694E04"/>
    <w:rsid w:val="00695427"/>
    <w:rsid w:val="00695F34"/>
    <w:rsid w:val="006961DD"/>
    <w:rsid w:val="0069625E"/>
    <w:rsid w:val="0069639A"/>
    <w:rsid w:val="0069649A"/>
    <w:rsid w:val="00696F21"/>
    <w:rsid w:val="006975EF"/>
    <w:rsid w:val="00697684"/>
    <w:rsid w:val="006977E3"/>
    <w:rsid w:val="006978F0"/>
    <w:rsid w:val="00697F3F"/>
    <w:rsid w:val="006A08F3"/>
    <w:rsid w:val="006A0D60"/>
    <w:rsid w:val="006A0DDF"/>
    <w:rsid w:val="006A0E50"/>
    <w:rsid w:val="006A0E66"/>
    <w:rsid w:val="006A0FE4"/>
    <w:rsid w:val="006A1F4D"/>
    <w:rsid w:val="006A200F"/>
    <w:rsid w:val="006A20E7"/>
    <w:rsid w:val="006A24AF"/>
    <w:rsid w:val="006A2AED"/>
    <w:rsid w:val="006A3860"/>
    <w:rsid w:val="006A3B8F"/>
    <w:rsid w:val="006A3C6F"/>
    <w:rsid w:val="006A3E98"/>
    <w:rsid w:val="006A40FD"/>
    <w:rsid w:val="006A4484"/>
    <w:rsid w:val="006A4A56"/>
    <w:rsid w:val="006A588B"/>
    <w:rsid w:val="006A6313"/>
    <w:rsid w:val="006A67B3"/>
    <w:rsid w:val="006B00E8"/>
    <w:rsid w:val="006B0BEE"/>
    <w:rsid w:val="006B0C2A"/>
    <w:rsid w:val="006B0CE0"/>
    <w:rsid w:val="006B0D78"/>
    <w:rsid w:val="006B0D9C"/>
    <w:rsid w:val="006B13B2"/>
    <w:rsid w:val="006B1605"/>
    <w:rsid w:val="006B1700"/>
    <w:rsid w:val="006B175E"/>
    <w:rsid w:val="006B18B0"/>
    <w:rsid w:val="006B1F0F"/>
    <w:rsid w:val="006B2244"/>
    <w:rsid w:val="006B22B4"/>
    <w:rsid w:val="006B26C1"/>
    <w:rsid w:val="006B26F4"/>
    <w:rsid w:val="006B27D8"/>
    <w:rsid w:val="006B289A"/>
    <w:rsid w:val="006B2E61"/>
    <w:rsid w:val="006B3495"/>
    <w:rsid w:val="006B3CD4"/>
    <w:rsid w:val="006B3CDA"/>
    <w:rsid w:val="006B5554"/>
    <w:rsid w:val="006B566B"/>
    <w:rsid w:val="006B66F4"/>
    <w:rsid w:val="006B67AC"/>
    <w:rsid w:val="006B6C39"/>
    <w:rsid w:val="006B6E23"/>
    <w:rsid w:val="006B70C9"/>
    <w:rsid w:val="006B78A6"/>
    <w:rsid w:val="006B7DD4"/>
    <w:rsid w:val="006B7F07"/>
    <w:rsid w:val="006C03D0"/>
    <w:rsid w:val="006C0722"/>
    <w:rsid w:val="006C15ED"/>
    <w:rsid w:val="006C19B3"/>
    <w:rsid w:val="006C19F3"/>
    <w:rsid w:val="006C1AD8"/>
    <w:rsid w:val="006C1B66"/>
    <w:rsid w:val="006C2384"/>
    <w:rsid w:val="006C29CE"/>
    <w:rsid w:val="006C2E67"/>
    <w:rsid w:val="006C3814"/>
    <w:rsid w:val="006C404E"/>
    <w:rsid w:val="006C4145"/>
    <w:rsid w:val="006C424A"/>
    <w:rsid w:val="006C48CF"/>
    <w:rsid w:val="006C4E0A"/>
    <w:rsid w:val="006C5618"/>
    <w:rsid w:val="006C56AE"/>
    <w:rsid w:val="006C5CFA"/>
    <w:rsid w:val="006C5E7F"/>
    <w:rsid w:val="006C5EAA"/>
    <w:rsid w:val="006C6CE9"/>
    <w:rsid w:val="006C73DF"/>
    <w:rsid w:val="006C7782"/>
    <w:rsid w:val="006C7B0C"/>
    <w:rsid w:val="006C7B71"/>
    <w:rsid w:val="006C7E0D"/>
    <w:rsid w:val="006C7E2C"/>
    <w:rsid w:val="006C7F75"/>
    <w:rsid w:val="006D00C8"/>
    <w:rsid w:val="006D08AB"/>
    <w:rsid w:val="006D0908"/>
    <w:rsid w:val="006D1A82"/>
    <w:rsid w:val="006D1DF9"/>
    <w:rsid w:val="006D1E70"/>
    <w:rsid w:val="006D261B"/>
    <w:rsid w:val="006D2706"/>
    <w:rsid w:val="006D2E62"/>
    <w:rsid w:val="006D2F18"/>
    <w:rsid w:val="006D32A1"/>
    <w:rsid w:val="006D37D5"/>
    <w:rsid w:val="006D3ADC"/>
    <w:rsid w:val="006D3AE9"/>
    <w:rsid w:val="006D3F6E"/>
    <w:rsid w:val="006D430B"/>
    <w:rsid w:val="006D4600"/>
    <w:rsid w:val="006D46C9"/>
    <w:rsid w:val="006D482B"/>
    <w:rsid w:val="006D4A17"/>
    <w:rsid w:val="006D514E"/>
    <w:rsid w:val="006D5B08"/>
    <w:rsid w:val="006D5B19"/>
    <w:rsid w:val="006D5C5F"/>
    <w:rsid w:val="006D5F38"/>
    <w:rsid w:val="006D6515"/>
    <w:rsid w:val="006D6862"/>
    <w:rsid w:val="006D7D62"/>
    <w:rsid w:val="006D7FB8"/>
    <w:rsid w:val="006E019A"/>
    <w:rsid w:val="006E061F"/>
    <w:rsid w:val="006E0D66"/>
    <w:rsid w:val="006E0DA9"/>
    <w:rsid w:val="006E1413"/>
    <w:rsid w:val="006E142E"/>
    <w:rsid w:val="006E166D"/>
    <w:rsid w:val="006E172F"/>
    <w:rsid w:val="006E1A48"/>
    <w:rsid w:val="006E215B"/>
    <w:rsid w:val="006E27F7"/>
    <w:rsid w:val="006E2A3A"/>
    <w:rsid w:val="006E2E69"/>
    <w:rsid w:val="006E2EE9"/>
    <w:rsid w:val="006E32F1"/>
    <w:rsid w:val="006E3560"/>
    <w:rsid w:val="006E3E35"/>
    <w:rsid w:val="006E43F3"/>
    <w:rsid w:val="006E4853"/>
    <w:rsid w:val="006E538E"/>
    <w:rsid w:val="006E5BDE"/>
    <w:rsid w:val="006E5E05"/>
    <w:rsid w:val="006E6A0B"/>
    <w:rsid w:val="006E6DD5"/>
    <w:rsid w:val="006E742E"/>
    <w:rsid w:val="006E7623"/>
    <w:rsid w:val="006F2774"/>
    <w:rsid w:val="006F28B9"/>
    <w:rsid w:val="006F294A"/>
    <w:rsid w:val="006F2AFC"/>
    <w:rsid w:val="006F3097"/>
    <w:rsid w:val="006F3229"/>
    <w:rsid w:val="006F3560"/>
    <w:rsid w:val="006F366C"/>
    <w:rsid w:val="006F36AF"/>
    <w:rsid w:val="006F3EA7"/>
    <w:rsid w:val="006F43D8"/>
    <w:rsid w:val="006F4454"/>
    <w:rsid w:val="006F44EE"/>
    <w:rsid w:val="006F4BF1"/>
    <w:rsid w:val="006F4EFE"/>
    <w:rsid w:val="006F5972"/>
    <w:rsid w:val="006F5F29"/>
    <w:rsid w:val="006F5F5A"/>
    <w:rsid w:val="006F600E"/>
    <w:rsid w:val="006F68B7"/>
    <w:rsid w:val="006F6AD0"/>
    <w:rsid w:val="006F6DD8"/>
    <w:rsid w:val="006F6EDF"/>
    <w:rsid w:val="006F711E"/>
    <w:rsid w:val="006F72F8"/>
    <w:rsid w:val="006F7D79"/>
    <w:rsid w:val="006F7FDF"/>
    <w:rsid w:val="00700B45"/>
    <w:rsid w:val="007010B3"/>
    <w:rsid w:val="007013CC"/>
    <w:rsid w:val="00701715"/>
    <w:rsid w:val="007018B2"/>
    <w:rsid w:val="00701BF1"/>
    <w:rsid w:val="007028B8"/>
    <w:rsid w:val="00702BFF"/>
    <w:rsid w:val="00703067"/>
    <w:rsid w:val="00703DF2"/>
    <w:rsid w:val="00703F59"/>
    <w:rsid w:val="00704080"/>
    <w:rsid w:val="00704521"/>
    <w:rsid w:val="0070456C"/>
    <w:rsid w:val="007048DE"/>
    <w:rsid w:val="0070516B"/>
    <w:rsid w:val="00705248"/>
    <w:rsid w:val="00705F09"/>
    <w:rsid w:val="00706BC9"/>
    <w:rsid w:val="007074F5"/>
    <w:rsid w:val="00707B1A"/>
    <w:rsid w:val="007123FC"/>
    <w:rsid w:val="0071268D"/>
    <w:rsid w:val="00712D4B"/>
    <w:rsid w:val="00712EFB"/>
    <w:rsid w:val="00712F3B"/>
    <w:rsid w:val="00712FE3"/>
    <w:rsid w:val="00713115"/>
    <w:rsid w:val="007135B6"/>
    <w:rsid w:val="0071457A"/>
    <w:rsid w:val="007146E2"/>
    <w:rsid w:val="00714809"/>
    <w:rsid w:val="007151FA"/>
    <w:rsid w:val="00716267"/>
    <w:rsid w:val="00716505"/>
    <w:rsid w:val="00716C26"/>
    <w:rsid w:val="0071747F"/>
    <w:rsid w:val="00717666"/>
    <w:rsid w:val="00717A60"/>
    <w:rsid w:val="00717B14"/>
    <w:rsid w:val="00717DF2"/>
    <w:rsid w:val="00720901"/>
    <w:rsid w:val="00720CF2"/>
    <w:rsid w:val="00721C95"/>
    <w:rsid w:val="00721FE6"/>
    <w:rsid w:val="007220AB"/>
    <w:rsid w:val="0072219D"/>
    <w:rsid w:val="0072238D"/>
    <w:rsid w:val="007225A7"/>
    <w:rsid w:val="007227A7"/>
    <w:rsid w:val="00722F82"/>
    <w:rsid w:val="0072390A"/>
    <w:rsid w:val="00723929"/>
    <w:rsid w:val="00723CF1"/>
    <w:rsid w:val="00723E75"/>
    <w:rsid w:val="007254DE"/>
    <w:rsid w:val="0072584D"/>
    <w:rsid w:val="0072594B"/>
    <w:rsid w:val="007259D5"/>
    <w:rsid w:val="00725F3C"/>
    <w:rsid w:val="00726145"/>
    <w:rsid w:val="007263D2"/>
    <w:rsid w:val="0072678C"/>
    <w:rsid w:val="00726E5F"/>
    <w:rsid w:val="007270B6"/>
    <w:rsid w:val="00727A8C"/>
    <w:rsid w:val="00727B81"/>
    <w:rsid w:val="00727E55"/>
    <w:rsid w:val="007301AD"/>
    <w:rsid w:val="0073086B"/>
    <w:rsid w:val="00730E76"/>
    <w:rsid w:val="00731294"/>
    <w:rsid w:val="00731C62"/>
    <w:rsid w:val="00731E04"/>
    <w:rsid w:val="0073229A"/>
    <w:rsid w:val="007323E0"/>
    <w:rsid w:val="007324B3"/>
    <w:rsid w:val="007324BB"/>
    <w:rsid w:val="00732B4B"/>
    <w:rsid w:val="00732C0F"/>
    <w:rsid w:val="00732EB4"/>
    <w:rsid w:val="007337C2"/>
    <w:rsid w:val="00733872"/>
    <w:rsid w:val="00733FE1"/>
    <w:rsid w:val="00734461"/>
    <w:rsid w:val="0073485A"/>
    <w:rsid w:val="00734EF7"/>
    <w:rsid w:val="007352BA"/>
    <w:rsid w:val="00735754"/>
    <w:rsid w:val="00735805"/>
    <w:rsid w:val="007363E6"/>
    <w:rsid w:val="0073645F"/>
    <w:rsid w:val="007365FF"/>
    <w:rsid w:val="0073667A"/>
    <w:rsid w:val="007367C1"/>
    <w:rsid w:val="00736914"/>
    <w:rsid w:val="00736973"/>
    <w:rsid w:val="00736EEA"/>
    <w:rsid w:val="007370B2"/>
    <w:rsid w:val="00737128"/>
    <w:rsid w:val="00737394"/>
    <w:rsid w:val="00737A50"/>
    <w:rsid w:val="00737B68"/>
    <w:rsid w:val="00737DD7"/>
    <w:rsid w:val="007401E3"/>
    <w:rsid w:val="00741B67"/>
    <w:rsid w:val="00741F97"/>
    <w:rsid w:val="007425CE"/>
    <w:rsid w:val="00742CFD"/>
    <w:rsid w:val="00743E66"/>
    <w:rsid w:val="00745974"/>
    <w:rsid w:val="00745979"/>
    <w:rsid w:val="00745A12"/>
    <w:rsid w:val="00745EBD"/>
    <w:rsid w:val="007467A8"/>
    <w:rsid w:val="0074700D"/>
    <w:rsid w:val="00747FA9"/>
    <w:rsid w:val="00750234"/>
    <w:rsid w:val="00750248"/>
    <w:rsid w:val="00750E62"/>
    <w:rsid w:val="007524C6"/>
    <w:rsid w:val="00752A75"/>
    <w:rsid w:val="00752ADD"/>
    <w:rsid w:val="00752AE6"/>
    <w:rsid w:val="00753531"/>
    <w:rsid w:val="00753BED"/>
    <w:rsid w:val="00753FBC"/>
    <w:rsid w:val="007550F3"/>
    <w:rsid w:val="00755100"/>
    <w:rsid w:val="007551EF"/>
    <w:rsid w:val="00755728"/>
    <w:rsid w:val="00755A50"/>
    <w:rsid w:val="007561E9"/>
    <w:rsid w:val="00756B44"/>
    <w:rsid w:val="00756C3C"/>
    <w:rsid w:val="00756CBA"/>
    <w:rsid w:val="00756FB2"/>
    <w:rsid w:val="00757127"/>
    <w:rsid w:val="007573E9"/>
    <w:rsid w:val="007575E5"/>
    <w:rsid w:val="007607B8"/>
    <w:rsid w:val="007608C8"/>
    <w:rsid w:val="00760934"/>
    <w:rsid w:val="00760F47"/>
    <w:rsid w:val="00761402"/>
    <w:rsid w:val="00761475"/>
    <w:rsid w:val="007617F1"/>
    <w:rsid w:val="00761AF3"/>
    <w:rsid w:val="00762103"/>
    <w:rsid w:val="007623D9"/>
    <w:rsid w:val="00762908"/>
    <w:rsid w:val="00762E2B"/>
    <w:rsid w:val="00763D0B"/>
    <w:rsid w:val="00763DA5"/>
    <w:rsid w:val="00763E5A"/>
    <w:rsid w:val="00764494"/>
    <w:rsid w:val="00765A45"/>
    <w:rsid w:val="007662F8"/>
    <w:rsid w:val="007666B4"/>
    <w:rsid w:val="00766763"/>
    <w:rsid w:val="0076685D"/>
    <w:rsid w:val="00766A39"/>
    <w:rsid w:val="00766AB4"/>
    <w:rsid w:val="00767292"/>
    <w:rsid w:val="00767397"/>
    <w:rsid w:val="00767887"/>
    <w:rsid w:val="00767A71"/>
    <w:rsid w:val="00767C1A"/>
    <w:rsid w:val="00770605"/>
    <w:rsid w:val="0077065F"/>
    <w:rsid w:val="00771906"/>
    <w:rsid w:val="007719B0"/>
    <w:rsid w:val="00771DAA"/>
    <w:rsid w:val="007727F0"/>
    <w:rsid w:val="00772DAD"/>
    <w:rsid w:val="00773094"/>
    <w:rsid w:val="00773646"/>
    <w:rsid w:val="007738E5"/>
    <w:rsid w:val="00773AD1"/>
    <w:rsid w:val="007747F8"/>
    <w:rsid w:val="00774BB9"/>
    <w:rsid w:val="00774DBA"/>
    <w:rsid w:val="00774E23"/>
    <w:rsid w:val="0077558F"/>
    <w:rsid w:val="00775642"/>
    <w:rsid w:val="00775716"/>
    <w:rsid w:val="00775E2E"/>
    <w:rsid w:val="007764C2"/>
    <w:rsid w:val="007769B1"/>
    <w:rsid w:val="00776FD1"/>
    <w:rsid w:val="007774B5"/>
    <w:rsid w:val="00777911"/>
    <w:rsid w:val="00777A00"/>
    <w:rsid w:val="00777B64"/>
    <w:rsid w:val="00777C65"/>
    <w:rsid w:val="007801B1"/>
    <w:rsid w:val="0078024B"/>
    <w:rsid w:val="007808C0"/>
    <w:rsid w:val="0078107B"/>
    <w:rsid w:val="00781338"/>
    <w:rsid w:val="007813E3"/>
    <w:rsid w:val="0078147D"/>
    <w:rsid w:val="007819BE"/>
    <w:rsid w:val="00781ACD"/>
    <w:rsid w:val="00781E57"/>
    <w:rsid w:val="007823C3"/>
    <w:rsid w:val="00782654"/>
    <w:rsid w:val="00782A97"/>
    <w:rsid w:val="00782DA0"/>
    <w:rsid w:val="00782DBE"/>
    <w:rsid w:val="00782F27"/>
    <w:rsid w:val="00783113"/>
    <w:rsid w:val="0078324E"/>
    <w:rsid w:val="00783B63"/>
    <w:rsid w:val="00783B9C"/>
    <w:rsid w:val="00783EE3"/>
    <w:rsid w:val="0078444E"/>
    <w:rsid w:val="007845F2"/>
    <w:rsid w:val="00784B55"/>
    <w:rsid w:val="0078502E"/>
    <w:rsid w:val="007857F1"/>
    <w:rsid w:val="00786E5A"/>
    <w:rsid w:val="00786F0D"/>
    <w:rsid w:val="00786F90"/>
    <w:rsid w:val="00787011"/>
    <w:rsid w:val="00787552"/>
    <w:rsid w:val="00787571"/>
    <w:rsid w:val="007878D7"/>
    <w:rsid w:val="00787E56"/>
    <w:rsid w:val="0079037E"/>
    <w:rsid w:val="00790935"/>
    <w:rsid w:val="00790E54"/>
    <w:rsid w:val="0079103C"/>
    <w:rsid w:val="0079113A"/>
    <w:rsid w:val="007914EA"/>
    <w:rsid w:val="007927D3"/>
    <w:rsid w:val="00792DCB"/>
    <w:rsid w:val="00792FB4"/>
    <w:rsid w:val="00793C49"/>
    <w:rsid w:val="00793F61"/>
    <w:rsid w:val="00794795"/>
    <w:rsid w:val="007955DF"/>
    <w:rsid w:val="00795A3A"/>
    <w:rsid w:val="00795B19"/>
    <w:rsid w:val="00795BBD"/>
    <w:rsid w:val="00795D91"/>
    <w:rsid w:val="00796121"/>
    <w:rsid w:val="007964D4"/>
    <w:rsid w:val="007965A4"/>
    <w:rsid w:val="00796976"/>
    <w:rsid w:val="00796C62"/>
    <w:rsid w:val="00796EC7"/>
    <w:rsid w:val="00797712"/>
    <w:rsid w:val="00797EA1"/>
    <w:rsid w:val="007A041E"/>
    <w:rsid w:val="007A05DC"/>
    <w:rsid w:val="007A06F8"/>
    <w:rsid w:val="007A0A47"/>
    <w:rsid w:val="007A1363"/>
    <w:rsid w:val="007A15B3"/>
    <w:rsid w:val="007A1CD3"/>
    <w:rsid w:val="007A1DAE"/>
    <w:rsid w:val="007A3187"/>
    <w:rsid w:val="007A318F"/>
    <w:rsid w:val="007A32EF"/>
    <w:rsid w:val="007A3917"/>
    <w:rsid w:val="007A3B6C"/>
    <w:rsid w:val="007A4D55"/>
    <w:rsid w:val="007A4D71"/>
    <w:rsid w:val="007A4EE5"/>
    <w:rsid w:val="007A50E0"/>
    <w:rsid w:val="007A5C88"/>
    <w:rsid w:val="007A5D9F"/>
    <w:rsid w:val="007A61EF"/>
    <w:rsid w:val="007A766C"/>
    <w:rsid w:val="007A788B"/>
    <w:rsid w:val="007A7A30"/>
    <w:rsid w:val="007A7CB3"/>
    <w:rsid w:val="007A7D8D"/>
    <w:rsid w:val="007B02CF"/>
    <w:rsid w:val="007B05A9"/>
    <w:rsid w:val="007B0ECD"/>
    <w:rsid w:val="007B0EE0"/>
    <w:rsid w:val="007B144A"/>
    <w:rsid w:val="007B1652"/>
    <w:rsid w:val="007B17F2"/>
    <w:rsid w:val="007B1800"/>
    <w:rsid w:val="007B199A"/>
    <w:rsid w:val="007B1B0A"/>
    <w:rsid w:val="007B1FE1"/>
    <w:rsid w:val="007B293D"/>
    <w:rsid w:val="007B2C4B"/>
    <w:rsid w:val="007B3371"/>
    <w:rsid w:val="007B39B2"/>
    <w:rsid w:val="007B3D67"/>
    <w:rsid w:val="007B3F8C"/>
    <w:rsid w:val="007B4292"/>
    <w:rsid w:val="007B5BC3"/>
    <w:rsid w:val="007B608E"/>
    <w:rsid w:val="007B632C"/>
    <w:rsid w:val="007B67D3"/>
    <w:rsid w:val="007B6AC4"/>
    <w:rsid w:val="007B6B3C"/>
    <w:rsid w:val="007B6C82"/>
    <w:rsid w:val="007B6E4A"/>
    <w:rsid w:val="007B7390"/>
    <w:rsid w:val="007B7830"/>
    <w:rsid w:val="007B7AAD"/>
    <w:rsid w:val="007B7C56"/>
    <w:rsid w:val="007C01C6"/>
    <w:rsid w:val="007C02F7"/>
    <w:rsid w:val="007C05D8"/>
    <w:rsid w:val="007C0627"/>
    <w:rsid w:val="007C0A54"/>
    <w:rsid w:val="007C118F"/>
    <w:rsid w:val="007C1407"/>
    <w:rsid w:val="007C1A00"/>
    <w:rsid w:val="007C1FA1"/>
    <w:rsid w:val="007C2635"/>
    <w:rsid w:val="007C2E0A"/>
    <w:rsid w:val="007C3505"/>
    <w:rsid w:val="007C3A64"/>
    <w:rsid w:val="007C3E3A"/>
    <w:rsid w:val="007C42AF"/>
    <w:rsid w:val="007C4583"/>
    <w:rsid w:val="007C45CC"/>
    <w:rsid w:val="007C4E8A"/>
    <w:rsid w:val="007C529B"/>
    <w:rsid w:val="007C596F"/>
    <w:rsid w:val="007C5EF1"/>
    <w:rsid w:val="007C653A"/>
    <w:rsid w:val="007C66DA"/>
    <w:rsid w:val="007C672E"/>
    <w:rsid w:val="007C6F4D"/>
    <w:rsid w:val="007C78E1"/>
    <w:rsid w:val="007C7A00"/>
    <w:rsid w:val="007C7FED"/>
    <w:rsid w:val="007D0662"/>
    <w:rsid w:val="007D09FB"/>
    <w:rsid w:val="007D0C6F"/>
    <w:rsid w:val="007D0CF4"/>
    <w:rsid w:val="007D10AA"/>
    <w:rsid w:val="007D113B"/>
    <w:rsid w:val="007D14EF"/>
    <w:rsid w:val="007D17F9"/>
    <w:rsid w:val="007D1A2F"/>
    <w:rsid w:val="007D22B9"/>
    <w:rsid w:val="007D2376"/>
    <w:rsid w:val="007D2514"/>
    <w:rsid w:val="007D2B34"/>
    <w:rsid w:val="007D2D9D"/>
    <w:rsid w:val="007D3331"/>
    <w:rsid w:val="007D3371"/>
    <w:rsid w:val="007D3419"/>
    <w:rsid w:val="007D442E"/>
    <w:rsid w:val="007D462A"/>
    <w:rsid w:val="007D4647"/>
    <w:rsid w:val="007D4840"/>
    <w:rsid w:val="007D4B4E"/>
    <w:rsid w:val="007D4C7D"/>
    <w:rsid w:val="007D5823"/>
    <w:rsid w:val="007D5CEC"/>
    <w:rsid w:val="007D6BA7"/>
    <w:rsid w:val="007D6D6C"/>
    <w:rsid w:val="007D7803"/>
    <w:rsid w:val="007D7979"/>
    <w:rsid w:val="007D7BF1"/>
    <w:rsid w:val="007E01E2"/>
    <w:rsid w:val="007E0277"/>
    <w:rsid w:val="007E02A9"/>
    <w:rsid w:val="007E0CA8"/>
    <w:rsid w:val="007E17D0"/>
    <w:rsid w:val="007E1B6B"/>
    <w:rsid w:val="007E1D86"/>
    <w:rsid w:val="007E21C4"/>
    <w:rsid w:val="007E2231"/>
    <w:rsid w:val="007E3039"/>
    <w:rsid w:val="007E33A5"/>
    <w:rsid w:val="007E386F"/>
    <w:rsid w:val="007E4B7F"/>
    <w:rsid w:val="007E4EE8"/>
    <w:rsid w:val="007E51F9"/>
    <w:rsid w:val="007E577A"/>
    <w:rsid w:val="007E57F8"/>
    <w:rsid w:val="007E58CE"/>
    <w:rsid w:val="007E634C"/>
    <w:rsid w:val="007E6507"/>
    <w:rsid w:val="007E6575"/>
    <w:rsid w:val="007E6710"/>
    <w:rsid w:val="007E6C6A"/>
    <w:rsid w:val="007E718D"/>
    <w:rsid w:val="007E74F6"/>
    <w:rsid w:val="007E7567"/>
    <w:rsid w:val="007E7818"/>
    <w:rsid w:val="007E7D5C"/>
    <w:rsid w:val="007E7E9C"/>
    <w:rsid w:val="007F00F8"/>
    <w:rsid w:val="007F11AD"/>
    <w:rsid w:val="007F1771"/>
    <w:rsid w:val="007F17CE"/>
    <w:rsid w:val="007F1CAB"/>
    <w:rsid w:val="007F22AF"/>
    <w:rsid w:val="007F2A7D"/>
    <w:rsid w:val="007F2C6D"/>
    <w:rsid w:val="007F2DB3"/>
    <w:rsid w:val="007F371F"/>
    <w:rsid w:val="007F40ED"/>
    <w:rsid w:val="007F45CF"/>
    <w:rsid w:val="007F4AD2"/>
    <w:rsid w:val="007F4F8D"/>
    <w:rsid w:val="007F533A"/>
    <w:rsid w:val="007F58F6"/>
    <w:rsid w:val="007F5A0B"/>
    <w:rsid w:val="007F5D73"/>
    <w:rsid w:val="007F5E7E"/>
    <w:rsid w:val="007F618F"/>
    <w:rsid w:val="007F661B"/>
    <w:rsid w:val="007F6890"/>
    <w:rsid w:val="007F6AB4"/>
    <w:rsid w:val="007F6F5F"/>
    <w:rsid w:val="007F6F7C"/>
    <w:rsid w:val="007F70AE"/>
    <w:rsid w:val="007F77E6"/>
    <w:rsid w:val="007F7CD6"/>
    <w:rsid w:val="007F7F4B"/>
    <w:rsid w:val="00800532"/>
    <w:rsid w:val="008005F8"/>
    <w:rsid w:val="008006F8"/>
    <w:rsid w:val="00800981"/>
    <w:rsid w:val="00800A2F"/>
    <w:rsid w:val="00800C9E"/>
    <w:rsid w:val="00800CA7"/>
    <w:rsid w:val="00801163"/>
    <w:rsid w:val="008015B7"/>
    <w:rsid w:val="00801BF5"/>
    <w:rsid w:val="00801DFE"/>
    <w:rsid w:val="00801E8F"/>
    <w:rsid w:val="008029C1"/>
    <w:rsid w:val="00802DC7"/>
    <w:rsid w:val="00803BC4"/>
    <w:rsid w:val="00803ED2"/>
    <w:rsid w:val="008041A3"/>
    <w:rsid w:val="00804592"/>
    <w:rsid w:val="0080479A"/>
    <w:rsid w:val="0080491E"/>
    <w:rsid w:val="008052FF"/>
    <w:rsid w:val="00805630"/>
    <w:rsid w:val="00805891"/>
    <w:rsid w:val="00806184"/>
    <w:rsid w:val="008066B5"/>
    <w:rsid w:val="00806D5F"/>
    <w:rsid w:val="00807C0B"/>
    <w:rsid w:val="00807DA6"/>
    <w:rsid w:val="00807DDF"/>
    <w:rsid w:val="00807E3F"/>
    <w:rsid w:val="0081003C"/>
    <w:rsid w:val="0081045C"/>
    <w:rsid w:val="00810B2A"/>
    <w:rsid w:val="00810E3B"/>
    <w:rsid w:val="0081125B"/>
    <w:rsid w:val="008113E1"/>
    <w:rsid w:val="008114D2"/>
    <w:rsid w:val="00811789"/>
    <w:rsid w:val="0081203F"/>
    <w:rsid w:val="00812A9A"/>
    <w:rsid w:val="00812C00"/>
    <w:rsid w:val="00812DF7"/>
    <w:rsid w:val="008132E2"/>
    <w:rsid w:val="00813455"/>
    <w:rsid w:val="00813639"/>
    <w:rsid w:val="00814436"/>
    <w:rsid w:val="008148F9"/>
    <w:rsid w:val="00815D99"/>
    <w:rsid w:val="00816082"/>
    <w:rsid w:val="008164D9"/>
    <w:rsid w:val="00816EC3"/>
    <w:rsid w:val="008170A1"/>
    <w:rsid w:val="008172CF"/>
    <w:rsid w:val="008175C8"/>
    <w:rsid w:val="00817D4A"/>
    <w:rsid w:val="008201C7"/>
    <w:rsid w:val="008210B9"/>
    <w:rsid w:val="00821950"/>
    <w:rsid w:val="00821FA6"/>
    <w:rsid w:val="008221F0"/>
    <w:rsid w:val="008224B2"/>
    <w:rsid w:val="00822AC4"/>
    <w:rsid w:val="00822DCD"/>
    <w:rsid w:val="008234E6"/>
    <w:rsid w:val="008236F8"/>
    <w:rsid w:val="00823E0F"/>
    <w:rsid w:val="00823F7E"/>
    <w:rsid w:val="0082486A"/>
    <w:rsid w:val="00824A9C"/>
    <w:rsid w:val="00824F7F"/>
    <w:rsid w:val="00825226"/>
    <w:rsid w:val="00825290"/>
    <w:rsid w:val="00825414"/>
    <w:rsid w:val="00825465"/>
    <w:rsid w:val="008255BE"/>
    <w:rsid w:val="008258A2"/>
    <w:rsid w:val="00825969"/>
    <w:rsid w:val="00825CBD"/>
    <w:rsid w:val="00825DE1"/>
    <w:rsid w:val="008261F1"/>
    <w:rsid w:val="00826286"/>
    <w:rsid w:val="008262E2"/>
    <w:rsid w:val="00826408"/>
    <w:rsid w:val="00826F7E"/>
    <w:rsid w:val="0082750F"/>
    <w:rsid w:val="00827A6C"/>
    <w:rsid w:val="00827E56"/>
    <w:rsid w:val="0083025A"/>
    <w:rsid w:val="00830335"/>
    <w:rsid w:val="00830D25"/>
    <w:rsid w:val="00831072"/>
    <w:rsid w:val="00831969"/>
    <w:rsid w:val="00831D5D"/>
    <w:rsid w:val="008338DD"/>
    <w:rsid w:val="00833D70"/>
    <w:rsid w:val="00833DAC"/>
    <w:rsid w:val="0083415D"/>
    <w:rsid w:val="00834598"/>
    <w:rsid w:val="00834705"/>
    <w:rsid w:val="00834B3F"/>
    <w:rsid w:val="00834CA6"/>
    <w:rsid w:val="0083523F"/>
    <w:rsid w:val="008353CB"/>
    <w:rsid w:val="008357EA"/>
    <w:rsid w:val="00835CB1"/>
    <w:rsid w:val="00835FC8"/>
    <w:rsid w:val="0083692E"/>
    <w:rsid w:val="00836BD7"/>
    <w:rsid w:val="00836EBF"/>
    <w:rsid w:val="0083739F"/>
    <w:rsid w:val="008376AF"/>
    <w:rsid w:val="00837833"/>
    <w:rsid w:val="00837B9C"/>
    <w:rsid w:val="00840A0C"/>
    <w:rsid w:val="00841166"/>
    <w:rsid w:val="008411C5"/>
    <w:rsid w:val="00841215"/>
    <w:rsid w:val="0084192B"/>
    <w:rsid w:val="00841E33"/>
    <w:rsid w:val="008426D5"/>
    <w:rsid w:val="00842EB3"/>
    <w:rsid w:val="008431BE"/>
    <w:rsid w:val="00843339"/>
    <w:rsid w:val="00843677"/>
    <w:rsid w:val="008439F2"/>
    <w:rsid w:val="00843FDA"/>
    <w:rsid w:val="0084401B"/>
    <w:rsid w:val="008443C9"/>
    <w:rsid w:val="008459A6"/>
    <w:rsid w:val="00846441"/>
    <w:rsid w:val="008464AB"/>
    <w:rsid w:val="0084681A"/>
    <w:rsid w:val="00846A03"/>
    <w:rsid w:val="00846AA5"/>
    <w:rsid w:val="00846E81"/>
    <w:rsid w:val="0084704C"/>
    <w:rsid w:val="00847C72"/>
    <w:rsid w:val="008506D1"/>
    <w:rsid w:val="008507E4"/>
    <w:rsid w:val="00850A80"/>
    <w:rsid w:val="00850EF0"/>
    <w:rsid w:val="008510DF"/>
    <w:rsid w:val="008517AE"/>
    <w:rsid w:val="00851BB8"/>
    <w:rsid w:val="00852C5B"/>
    <w:rsid w:val="00853211"/>
    <w:rsid w:val="00853483"/>
    <w:rsid w:val="00853926"/>
    <w:rsid w:val="0085393B"/>
    <w:rsid w:val="00853A8E"/>
    <w:rsid w:val="00853B17"/>
    <w:rsid w:val="00854313"/>
    <w:rsid w:val="00854430"/>
    <w:rsid w:val="00854C58"/>
    <w:rsid w:val="008550A1"/>
    <w:rsid w:val="00855B67"/>
    <w:rsid w:val="00855F8D"/>
    <w:rsid w:val="00856716"/>
    <w:rsid w:val="00856BBB"/>
    <w:rsid w:val="0085778E"/>
    <w:rsid w:val="008577D0"/>
    <w:rsid w:val="00860014"/>
    <w:rsid w:val="0086086F"/>
    <w:rsid w:val="00860B0B"/>
    <w:rsid w:val="00860DDC"/>
    <w:rsid w:val="00861115"/>
    <w:rsid w:val="00861228"/>
    <w:rsid w:val="008614AA"/>
    <w:rsid w:val="00861741"/>
    <w:rsid w:val="00862758"/>
    <w:rsid w:val="00862CEB"/>
    <w:rsid w:val="00862F3E"/>
    <w:rsid w:val="0086369E"/>
    <w:rsid w:val="00863D61"/>
    <w:rsid w:val="00863F22"/>
    <w:rsid w:val="0086456B"/>
    <w:rsid w:val="00864AC6"/>
    <w:rsid w:val="00864EAA"/>
    <w:rsid w:val="008655A6"/>
    <w:rsid w:val="008656C3"/>
    <w:rsid w:val="00865BC4"/>
    <w:rsid w:val="00865EEE"/>
    <w:rsid w:val="0086619F"/>
    <w:rsid w:val="00866DF6"/>
    <w:rsid w:val="00866F74"/>
    <w:rsid w:val="00866FD6"/>
    <w:rsid w:val="00867668"/>
    <w:rsid w:val="00867DCB"/>
    <w:rsid w:val="0087037B"/>
    <w:rsid w:val="00870584"/>
    <w:rsid w:val="00870CA0"/>
    <w:rsid w:val="00870F19"/>
    <w:rsid w:val="008714C9"/>
    <w:rsid w:val="00871B73"/>
    <w:rsid w:val="00871C5A"/>
    <w:rsid w:val="00871C77"/>
    <w:rsid w:val="00871E47"/>
    <w:rsid w:val="008728B6"/>
    <w:rsid w:val="008728F8"/>
    <w:rsid w:val="00872B55"/>
    <w:rsid w:val="00872BB6"/>
    <w:rsid w:val="008730E8"/>
    <w:rsid w:val="0087336C"/>
    <w:rsid w:val="00873C5B"/>
    <w:rsid w:val="00874179"/>
    <w:rsid w:val="00874531"/>
    <w:rsid w:val="00875526"/>
    <w:rsid w:val="00875685"/>
    <w:rsid w:val="0087573F"/>
    <w:rsid w:val="00875815"/>
    <w:rsid w:val="00875835"/>
    <w:rsid w:val="0087583A"/>
    <w:rsid w:val="00875D91"/>
    <w:rsid w:val="0087648C"/>
    <w:rsid w:val="008765CD"/>
    <w:rsid w:val="00876D94"/>
    <w:rsid w:val="00877627"/>
    <w:rsid w:val="00877703"/>
    <w:rsid w:val="00877789"/>
    <w:rsid w:val="00877BBB"/>
    <w:rsid w:val="00877C91"/>
    <w:rsid w:val="0088045E"/>
    <w:rsid w:val="008806EF"/>
    <w:rsid w:val="00881007"/>
    <w:rsid w:val="0088122E"/>
    <w:rsid w:val="008813A4"/>
    <w:rsid w:val="00881D41"/>
    <w:rsid w:val="0088238F"/>
    <w:rsid w:val="0088253B"/>
    <w:rsid w:val="00882592"/>
    <w:rsid w:val="00882DB5"/>
    <w:rsid w:val="00883188"/>
    <w:rsid w:val="008842C5"/>
    <w:rsid w:val="00884730"/>
    <w:rsid w:val="00884C54"/>
    <w:rsid w:val="00884DAF"/>
    <w:rsid w:val="00885023"/>
    <w:rsid w:val="0088532B"/>
    <w:rsid w:val="0088548E"/>
    <w:rsid w:val="00885772"/>
    <w:rsid w:val="00885CDF"/>
    <w:rsid w:val="00885D54"/>
    <w:rsid w:val="00885E52"/>
    <w:rsid w:val="0088689B"/>
    <w:rsid w:val="00886926"/>
    <w:rsid w:val="00886A74"/>
    <w:rsid w:val="00886B90"/>
    <w:rsid w:val="00886C19"/>
    <w:rsid w:val="008873C4"/>
    <w:rsid w:val="00887E5C"/>
    <w:rsid w:val="00887E6D"/>
    <w:rsid w:val="0089054E"/>
    <w:rsid w:val="00890AB5"/>
    <w:rsid w:val="00890C8B"/>
    <w:rsid w:val="00890FB0"/>
    <w:rsid w:val="008910F4"/>
    <w:rsid w:val="00891135"/>
    <w:rsid w:val="0089138F"/>
    <w:rsid w:val="00891411"/>
    <w:rsid w:val="00891D51"/>
    <w:rsid w:val="00891E9C"/>
    <w:rsid w:val="00892065"/>
    <w:rsid w:val="00892855"/>
    <w:rsid w:val="00893545"/>
    <w:rsid w:val="0089359E"/>
    <w:rsid w:val="00893B12"/>
    <w:rsid w:val="0089442E"/>
    <w:rsid w:val="00894592"/>
    <w:rsid w:val="00894AE7"/>
    <w:rsid w:val="00894D26"/>
    <w:rsid w:val="0089500D"/>
    <w:rsid w:val="00895041"/>
    <w:rsid w:val="008955EC"/>
    <w:rsid w:val="00895688"/>
    <w:rsid w:val="008956C8"/>
    <w:rsid w:val="008957FA"/>
    <w:rsid w:val="00896882"/>
    <w:rsid w:val="00896939"/>
    <w:rsid w:val="0089699D"/>
    <w:rsid w:val="00896BF7"/>
    <w:rsid w:val="00896D8C"/>
    <w:rsid w:val="008972B6"/>
    <w:rsid w:val="0089777F"/>
    <w:rsid w:val="00897B49"/>
    <w:rsid w:val="008A0882"/>
    <w:rsid w:val="008A0C36"/>
    <w:rsid w:val="008A0DD3"/>
    <w:rsid w:val="008A0F3F"/>
    <w:rsid w:val="008A0F88"/>
    <w:rsid w:val="008A118A"/>
    <w:rsid w:val="008A1504"/>
    <w:rsid w:val="008A1540"/>
    <w:rsid w:val="008A1741"/>
    <w:rsid w:val="008A1A63"/>
    <w:rsid w:val="008A21B3"/>
    <w:rsid w:val="008A26C5"/>
    <w:rsid w:val="008A28E7"/>
    <w:rsid w:val="008A2CBB"/>
    <w:rsid w:val="008A3329"/>
    <w:rsid w:val="008A3EDB"/>
    <w:rsid w:val="008A41E0"/>
    <w:rsid w:val="008A41ED"/>
    <w:rsid w:val="008A449A"/>
    <w:rsid w:val="008A4B18"/>
    <w:rsid w:val="008A5049"/>
    <w:rsid w:val="008A51CB"/>
    <w:rsid w:val="008A55F8"/>
    <w:rsid w:val="008A5AFC"/>
    <w:rsid w:val="008A5F43"/>
    <w:rsid w:val="008A6116"/>
    <w:rsid w:val="008A6433"/>
    <w:rsid w:val="008A671F"/>
    <w:rsid w:val="008A6D7C"/>
    <w:rsid w:val="008A6DCE"/>
    <w:rsid w:val="008A6E46"/>
    <w:rsid w:val="008A700B"/>
    <w:rsid w:val="008A7DDE"/>
    <w:rsid w:val="008B0280"/>
    <w:rsid w:val="008B02BE"/>
    <w:rsid w:val="008B0D3D"/>
    <w:rsid w:val="008B0DA1"/>
    <w:rsid w:val="008B0E14"/>
    <w:rsid w:val="008B1064"/>
    <w:rsid w:val="008B15E4"/>
    <w:rsid w:val="008B1776"/>
    <w:rsid w:val="008B1B7A"/>
    <w:rsid w:val="008B1F88"/>
    <w:rsid w:val="008B2024"/>
    <w:rsid w:val="008B2672"/>
    <w:rsid w:val="008B2B82"/>
    <w:rsid w:val="008B2C7A"/>
    <w:rsid w:val="008B2F2F"/>
    <w:rsid w:val="008B3239"/>
    <w:rsid w:val="008B3264"/>
    <w:rsid w:val="008B3285"/>
    <w:rsid w:val="008B33EE"/>
    <w:rsid w:val="008B4774"/>
    <w:rsid w:val="008B47D7"/>
    <w:rsid w:val="008B488B"/>
    <w:rsid w:val="008B4C0C"/>
    <w:rsid w:val="008B562A"/>
    <w:rsid w:val="008B57D0"/>
    <w:rsid w:val="008B5ECE"/>
    <w:rsid w:val="008B61F0"/>
    <w:rsid w:val="008B63C4"/>
    <w:rsid w:val="008B6852"/>
    <w:rsid w:val="008B6D87"/>
    <w:rsid w:val="008B722C"/>
    <w:rsid w:val="008B73A1"/>
    <w:rsid w:val="008B76AD"/>
    <w:rsid w:val="008B7B77"/>
    <w:rsid w:val="008B7E5C"/>
    <w:rsid w:val="008C0A56"/>
    <w:rsid w:val="008C1311"/>
    <w:rsid w:val="008C1FDB"/>
    <w:rsid w:val="008C224E"/>
    <w:rsid w:val="008C2573"/>
    <w:rsid w:val="008C26D2"/>
    <w:rsid w:val="008C26EE"/>
    <w:rsid w:val="008C296F"/>
    <w:rsid w:val="008C2D9F"/>
    <w:rsid w:val="008C2E55"/>
    <w:rsid w:val="008C2E8A"/>
    <w:rsid w:val="008C37A6"/>
    <w:rsid w:val="008C3820"/>
    <w:rsid w:val="008C42A1"/>
    <w:rsid w:val="008C4440"/>
    <w:rsid w:val="008C45F0"/>
    <w:rsid w:val="008C4BC4"/>
    <w:rsid w:val="008C4D0F"/>
    <w:rsid w:val="008C4D64"/>
    <w:rsid w:val="008C52E5"/>
    <w:rsid w:val="008C54FF"/>
    <w:rsid w:val="008C751B"/>
    <w:rsid w:val="008C77E2"/>
    <w:rsid w:val="008C77EE"/>
    <w:rsid w:val="008C79F1"/>
    <w:rsid w:val="008D01DC"/>
    <w:rsid w:val="008D058C"/>
    <w:rsid w:val="008D0A41"/>
    <w:rsid w:val="008D0F60"/>
    <w:rsid w:val="008D112F"/>
    <w:rsid w:val="008D1600"/>
    <w:rsid w:val="008D1AF0"/>
    <w:rsid w:val="008D1C3B"/>
    <w:rsid w:val="008D20BC"/>
    <w:rsid w:val="008D2BBF"/>
    <w:rsid w:val="008D30B5"/>
    <w:rsid w:val="008D3211"/>
    <w:rsid w:val="008D3447"/>
    <w:rsid w:val="008D3579"/>
    <w:rsid w:val="008D3656"/>
    <w:rsid w:val="008D39E5"/>
    <w:rsid w:val="008D3EE1"/>
    <w:rsid w:val="008D4674"/>
    <w:rsid w:val="008D4714"/>
    <w:rsid w:val="008D4B9F"/>
    <w:rsid w:val="008D4D17"/>
    <w:rsid w:val="008D4DF4"/>
    <w:rsid w:val="008D512F"/>
    <w:rsid w:val="008D53DF"/>
    <w:rsid w:val="008D553D"/>
    <w:rsid w:val="008D5972"/>
    <w:rsid w:val="008D5A05"/>
    <w:rsid w:val="008D5C4E"/>
    <w:rsid w:val="008D5F96"/>
    <w:rsid w:val="008D6009"/>
    <w:rsid w:val="008D654F"/>
    <w:rsid w:val="008D6709"/>
    <w:rsid w:val="008D69FC"/>
    <w:rsid w:val="008D718D"/>
    <w:rsid w:val="008D78C3"/>
    <w:rsid w:val="008D7C3E"/>
    <w:rsid w:val="008D7D2B"/>
    <w:rsid w:val="008D7EEB"/>
    <w:rsid w:val="008E0238"/>
    <w:rsid w:val="008E0249"/>
    <w:rsid w:val="008E0FF0"/>
    <w:rsid w:val="008E151A"/>
    <w:rsid w:val="008E1772"/>
    <w:rsid w:val="008E1A4D"/>
    <w:rsid w:val="008E1D5D"/>
    <w:rsid w:val="008E21AE"/>
    <w:rsid w:val="008E2803"/>
    <w:rsid w:val="008E2A0E"/>
    <w:rsid w:val="008E3840"/>
    <w:rsid w:val="008E420C"/>
    <w:rsid w:val="008E4230"/>
    <w:rsid w:val="008E435E"/>
    <w:rsid w:val="008E44BC"/>
    <w:rsid w:val="008E4797"/>
    <w:rsid w:val="008E4969"/>
    <w:rsid w:val="008E4F8C"/>
    <w:rsid w:val="008E53E4"/>
    <w:rsid w:val="008E58E5"/>
    <w:rsid w:val="008E5B39"/>
    <w:rsid w:val="008E5B77"/>
    <w:rsid w:val="008E5F1B"/>
    <w:rsid w:val="008E6826"/>
    <w:rsid w:val="008E68A5"/>
    <w:rsid w:val="008E74DC"/>
    <w:rsid w:val="008E7595"/>
    <w:rsid w:val="008E7649"/>
    <w:rsid w:val="008E7700"/>
    <w:rsid w:val="008F06AE"/>
    <w:rsid w:val="008F10DD"/>
    <w:rsid w:val="008F12DA"/>
    <w:rsid w:val="008F14BD"/>
    <w:rsid w:val="008F1624"/>
    <w:rsid w:val="008F1D16"/>
    <w:rsid w:val="008F1F4B"/>
    <w:rsid w:val="008F217B"/>
    <w:rsid w:val="008F2409"/>
    <w:rsid w:val="008F2BB2"/>
    <w:rsid w:val="008F2CC4"/>
    <w:rsid w:val="008F3551"/>
    <w:rsid w:val="008F37E3"/>
    <w:rsid w:val="008F412E"/>
    <w:rsid w:val="008F47CF"/>
    <w:rsid w:val="008F4936"/>
    <w:rsid w:val="008F6187"/>
    <w:rsid w:val="008F6456"/>
    <w:rsid w:val="008F64CB"/>
    <w:rsid w:val="008F6BEC"/>
    <w:rsid w:val="008F74D9"/>
    <w:rsid w:val="008F7BC3"/>
    <w:rsid w:val="008F7F33"/>
    <w:rsid w:val="00900288"/>
    <w:rsid w:val="00900D6E"/>
    <w:rsid w:val="00900EFE"/>
    <w:rsid w:val="0090134D"/>
    <w:rsid w:val="0090142F"/>
    <w:rsid w:val="00901FA9"/>
    <w:rsid w:val="009024B5"/>
    <w:rsid w:val="009035C5"/>
    <w:rsid w:val="00903949"/>
    <w:rsid w:val="009039AD"/>
    <w:rsid w:val="00903A6C"/>
    <w:rsid w:val="0090485A"/>
    <w:rsid w:val="00904A29"/>
    <w:rsid w:val="0090543B"/>
    <w:rsid w:val="00905AF1"/>
    <w:rsid w:val="009069EF"/>
    <w:rsid w:val="009070E3"/>
    <w:rsid w:val="00907163"/>
    <w:rsid w:val="009073F8"/>
    <w:rsid w:val="0090767B"/>
    <w:rsid w:val="00907761"/>
    <w:rsid w:val="00907BEF"/>
    <w:rsid w:val="00907C14"/>
    <w:rsid w:val="00907C6C"/>
    <w:rsid w:val="00907D90"/>
    <w:rsid w:val="00907F9F"/>
    <w:rsid w:val="00910A49"/>
    <w:rsid w:val="00910C00"/>
    <w:rsid w:val="009122BA"/>
    <w:rsid w:val="009124E6"/>
    <w:rsid w:val="00912F3E"/>
    <w:rsid w:val="00913178"/>
    <w:rsid w:val="00913394"/>
    <w:rsid w:val="009135AF"/>
    <w:rsid w:val="009135D7"/>
    <w:rsid w:val="00913AB7"/>
    <w:rsid w:val="009142DF"/>
    <w:rsid w:val="00914D28"/>
    <w:rsid w:val="00914DA1"/>
    <w:rsid w:val="0091526E"/>
    <w:rsid w:val="0091551C"/>
    <w:rsid w:val="0091559F"/>
    <w:rsid w:val="00915681"/>
    <w:rsid w:val="00915F8C"/>
    <w:rsid w:val="0091612E"/>
    <w:rsid w:val="0091677B"/>
    <w:rsid w:val="00916833"/>
    <w:rsid w:val="00916E17"/>
    <w:rsid w:val="0091723E"/>
    <w:rsid w:val="00917918"/>
    <w:rsid w:val="00917A60"/>
    <w:rsid w:val="00917ABF"/>
    <w:rsid w:val="00917EA3"/>
    <w:rsid w:val="00917FBD"/>
    <w:rsid w:val="009209E1"/>
    <w:rsid w:val="00920E3E"/>
    <w:rsid w:val="009214FE"/>
    <w:rsid w:val="009217E4"/>
    <w:rsid w:val="009226C4"/>
    <w:rsid w:val="00922C03"/>
    <w:rsid w:val="00922C0E"/>
    <w:rsid w:val="00923E0C"/>
    <w:rsid w:val="009243CB"/>
    <w:rsid w:val="009247B4"/>
    <w:rsid w:val="009248DA"/>
    <w:rsid w:val="00924907"/>
    <w:rsid w:val="009250BB"/>
    <w:rsid w:val="009255A8"/>
    <w:rsid w:val="00925619"/>
    <w:rsid w:val="00925CAE"/>
    <w:rsid w:val="00925CE5"/>
    <w:rsid w:val="00926719"/>
    <w:rsid w:val="00927522"/>
    <w:rsid w:val="00927D64"/>
    <w:rsid w:val="00927FD2"/>
    <w:rsid w:val="0093020C"/>
    <w:rsid w:val="00930415"/>
    <w:rsid w:val="00930508"/>
    <w:rsid w:val="00930D60"/>
    <w:rsid w:val="00931081"/>
    <w:rsid w:val="00931694"/>
    <w:rsid w:val="00932D6E"/>
    <w:rsid w:val="009336AF"/>
    <w:rsid w:val="0093372E"/>
    <w:rsid w:val="00933891"/>
    <w:rsid w:val="00933FEA"/>
    <w:rsid w:val="009349FC"/>
    <w:rsid w:val="00934B5D"/>
    <w:rsid w:val="00935119"/>
    <w:rsid w:val="00935363"/>
    <w:rsid w:val="009358CA"/>
    <w:rsid w:val="009361C3"/>
    <w:rsid w:val="009361FB"/>
    <w:rsid w:val="00936956"/>
    <w:rsid w:val="0093738D"/>
    <w:rsid w:val="0093766C"/>
    <w:rsid w:val="009378DF"/>
    <w:rsid w:val="00937B2E"/>
    <w:rsid w:val="00937D56"/>
    <w:rsid w:val="00937FDE"/>
    <w:rsid w:val="00940272"/>
    <w:rsid w:val="00940927"/>
    <w:rsid w:val="00940DE2"/>
    <w:rsid w:val="0094145E"/>
    <w:rsid w:val="0094173B"/>
    <w:rsid w:val="00941794"/>
    <w:rsid w:val="00943EB5"/>
    <w:rsid w:val="00943F1F"/>
    <w:rsid w:val="009440FF"/>
    <w:rsid w:val="009445DD"/>
    <w:rsid w:val="0094463D"/>
    <w:rsid w:val="009450FA"/>
    <w:rsid w:val="009453E2"/>
    <w:rsid w:val="009454E1"/>
    <w:rsid w:val="0094617A"/>
    <w:rsid w:val="00946267"/>
    <w:rsid w:val="00946ABB"/>
    <w:rsid w:val="00946BAF"/>
    <w:rsid w:val="00946DFC"/>
    <w:rsid w:val="0094794C"/>
    <w:rsid w:val="00947ADB"/>
    <w:rsid w:val="00947CDA"/>
    <w:rsid w:val="00950669"/>
    <w:rsid w:val="0095067D"/>
    <w:rsid w:val="00950C2B"/>
    <w:rsid w:val="0095131E"/>
    <w:rsid w:val="009519A8"/>
    <w:rsid w:val="00951D41"/>
    <w:rsid w:val="00951FD6"/>
    <w:rsid w:val="0095240B"/>
    <w:rsid w:val="00952778"/>
    <w:rsid w:val="00952827"/>
    <w:rsid w:val="00952E80"/>
    <w:rsid w:val="0095307E"/>
    <w:rsid w:val="00953580"/>
    <w:rsid w:val="00953830"/>
    <w:rsid w:val="00953D63"/>
    <w:rsid w:val="009542EF"/>
    <w:rsid w:val="009543BF"/>
    <w:rsid w:val="00954735"/>
    <w:rsid w:val="00954900"/>
    <w:rsid w:val="0095492E"/>
    <w:rsid w:val="00954E43"/>
    <w:rsid w:val="00955FA3"/>
    <w:rsid w:val="00956074"/>
    <w:rsid w:val="009560B5"/>
    <w:rsid w:val="009565C2"/>
    <w:rsid w:val="0095667C"/>
    <w:rsid w:val="009569BF"/>
    <w:rsid w:val="00957202"/>
    <w:rsid w:val="0095791B"/>
    <w:rsid w:val="00957CE3"/>
    <w:rsid w:val="00957D66"/>
    <w:rsid w:val="00957D78"/>
    <w:rsid w:val="00957FAF"/>
    <w:rsid w:val="009600D4"/>
    <w:rsid w:val="00960843"/>
    <w:rsid w:val="00960BEC"/>
    <w:rsid w:val="00960D08"/>
    <w:rsid w:val="00960FD5"/>
    <w:rsid w:val="00961052"/>
    <w:rsid w:val="0096135D"/>
    <w:rsid w:val="00961385"/>
    <w:rsid w:val="0096148E"/>
    <w:rsid w:val="0096156E"/>
    <w:rsid w:val="00961722"/>
    <w:rsid w:val="00961861"/>
    <w:rsid w:val="00961F1B"/>
    <w:rsid w:val="0096217C"/>
    <w:rsid w:val="00962320"/>
    <w:rsid w:val="0096243E"/>
    <w:rsid w:val="00962472"/>
    <w:rsid w:val="00962788"/>
    <w:rsid w:val="00962830"/>
    <w:rsid w:val="00962881"/>
    <w:rsid w:val="00963960"/>
    <w:rsid w:val="009639DE"/>
    <w:rsid w:val="00963AF0"/>
    <w:rsid w:val="009647F6"/>
    <w:rsid w:val="00964AFF"/>
    <w:rsid w:val="00964B37"/>
    <w:rsid w:val="00964B99"/>
    <w:rsid w:val="00964CC6"/>
    <w:rsid w:val="0096568A"/>
    <w:rsid w:val="00965693"/>
    <w:rsid w:val="009656F8"/>
    <w:rsid w:val="00965B11"/>
    <w:rsid w:val="009668F0"/>
    <w:rsid w:val="0096727C"/>
    <w:rsid w:val="009674F3"/>
    <w:rsid w:val="0096778B"/>
    <w:rsid w:val="009679CA"/>
    <w:rsid w:val="00967F53"/>
    <w:rsid w:val="00970093"/>
    <w:rsid w:val="00970358"/>
    <w:rsid w:val="0097039E"/>
    <w:rsid w:val="00970670"/>
    <w:rsid w:val="009708FC"/>
    <w:rsid w:val="00970914"/>
    <w:rsid w:val="00970D8C"/>
    <w:rsid w:val="00971A9B"/>
    <w:rsid w:val="0097216F"/>
    <w:rsid w:val="00972629"/>
    <w:rsid w:val="00973465"/>
    <w:rsid w:val="00973839"/>
    <w:rsid w:val="009738B5"/>
    <w:rsid w:val="009738DF"/>
    <w:rsid w:val="00973B2C"/>
    <w:rsid w:val="00973C35"/>
    <w:rsid w:val="00973C68"/>
    <w:rsid w:val="009741B8"/>
    <w:rsid w:val="0097488D"/>
    <w:rsid w:val="00974CF1"/>
    <w:rsid w:val="009750D4"/>
    <w:rsid w:val="00975394"/>
    <w:rsid w:val="00976735"/>
    <w:rsid w:val="00976A62"/>
    <w:rsid w:val="00976D9F"/>
    <w:rsid w:val="0097701A"/>
    <w:rsid w:val="009774C8"/>
    <w:rsid w:val="0097783F"/>
    <w:rsid w:val="009778E3"/>
    <w:rsid w:val="00977914"/>
    <w:rsid w:val="009805C0"/>
    <w:rsid w:val="0098081B"/>
    <w:rsid w:val="00980C7E"/>
    <w:rsid w:val="00980F68"/>
    <w:rsid w:val="009814FB"/>
    <w:rsid w:val="00981D2C"/>
    <w:rsid w:val="009829C9"/>
    <w:rsid w:val="00982CC4"/>
    <w:rsid w:val="00982E25"/>
    <w:rsid w:val="00982F5B"/>
    <w:rsid w:val="00983029"/>
    <w:rsid w:val="009831E7"/>
    <w:rsid w:val="0098340F"/>
    <w:rsid w:val="009834C3"/>
    <w:rsid w:val="00983863"/>
    <w:rsid w:val="00983F13"/>
    <w:rsid w:val="009840D3"/>
    <w:rsid w:val="00984980"/>
    <w:rsid w:val="00984A0C"/>
    <w:rsid w:val="00984BF4"/>
    <w:rsid w:val="00984E9A"/>
    <w:rsid w:val="00984F66"/>
    <w:rsid w:val="00985090"/>
    <w:rsid w:val="00985100"/>
    <w:rsid w:val="00985304"/>
    <w:rsid w:val="009858B0"/>
    <w:rsid w:val="00985AC7"/>
    <w:rsid w:val="009863AA"/>
    <w:rsid w:val="00986B02"/>
    <w:rsid w:val="00986D79"/>
    <w:rsid w:val="00987081"/>
    <w:rsid w:val="009871C8"/>
    <w:rsid w:val="00987DD1"/>
    <w:rsid w:val="009908A1"/>
    <w:rsid w:val="00990D0D"/>
    <w:rsid w:val="00990FBD"/>
    <w:rsid w:val="009915FB"/>
    <w:rsid w:val="00991762"/>
    <w:rsid w:val="0099210E"/>
    <w:rsid w:val="00992365"/>
    <w:rsid w:val="009926BC"/>
    <w:rsid w:val="00994CD5"/>
    <w:rsid w:val="00994E0D"/>
    <w:rsid w:val="009966C2"/>
    <w:rsid w:val="00996784"/>
    <w:rsid w:val="00996D16"/>
    <w:rsid w:val="00996E04"/>
    <w:rsid w:val="00996EF0"/>
    <w:rsid w:val="009974F3"/>
    <w:rsid w:val="009976A4"/>
    <w:rsid w:val="009979DC"/>
    <w:rsid w:val="009A0258"/>
    <w:rsid w:val="009A0469"/>
    <w:rsid w:val="009A0BDE"/>
    <w:rsid w:val="009A0EC5"/>
    <w:rsid w:val="009A14DD"/>
    <w:rsid w:val="009A1BE2"/>
    <w:rsid w:val="009A26D0"/>
    <w:rsid w:val="009A29D9"/>
    <w:rsid w:val="009A2C45"/>
    <w:rsid w:val="009A2ED3"/>
    <w:rsid w:val="009A3455"/>
    <w:rsid w:val="009A38FA"/>
    <w:rsid w:val="009A3AD4"/>
    <w:rsid w:val="009A3AE6"/>
    <w:rsid w:val="009A42F7"/>
    <w:rsid w:val="009A4808"/>
    <w:rsid w:val="009A4CF9"/>
    <w:rsid w:val="009A4D29"/>
    <w:rsid w:val="009A4E27"/>
    <w:rsid w:val="009A52CB"/>
    <w:rsid w:val="009A5991"/>
    <w:rsid w:val="009A613E"/>
    <w:rsid w:val="009A6442"/>
    <w:rsid w:val="009A64AA"/>
    <w:rsid w:val="009A6693"/>
    <w:rsid w:val="009A67AB"/>
    <w:rsid w:val="009A6A0D"/>
    <w:rsid w:val="009A6B2B"/>
    <w:rsid w:val="009A6D37"/>
    <w:rsid w:val="009A6DDC"/>
    <w:rsid w:val="009A768B"/>
    <w:rsid w:val="009B016A"/>
    <w:rsid w:val="009B04BC"/>
    <w:rsid w:val="009B0549"/>
    <w:rsid w:val="009B09EB"/>
    <w:rsid w:val="009B0EFE"/>
    <w:rsid w:val="009B110A"/>
    <w:rsid w:val="009B1712"/>
    <w:rsid w:val="009B17D4"/>
    <w:rsid w:val="009B1C27"/>
    <w:rsid w:val="009B1EC5"/>
    <w:rsid w:val="009B2059"/>
    <w:rsid w:val="009B2286"/>
    <w:rsid w:val="009B260E"/>
    <w:rsid w:val="009B27CB"/>
    <w:rsid w:val="009B2A9F"/>
    <w:rsid w:val="009B2B53"/>
    <w:rsid w:val="009B2F9F"/>
    <w:rsid w:val="009B3584"/>
    <w:rsid w:val="009B37C9"/>
    <w:rsid w:val="009B3CB8"/>
    <w:rsid w:val="009B3EDF"/>
    <w:rsid w:val="009B49E5"/>
    <w:rsid w:val="009B5723"/>
    <w:rsid w:val="009B5AD8"/>
    <w:rsid w:val="009B6399"/>
    <w:rsid w:val="009B783A"/>
    <w:rsid w:val="009B7970"/>
    <w:rsid w:val="009B7E10"/>
    <w:rsid w:val="009C035F"/>
    <w:rsid w:val="009C051A"/>
    <w:rsid w:val="009C05FC"/>
    <w:rsid w:val="009C0975"/>
    <w:rsid w:val="009C09AF"/>
    <w:rsid w:val="009C0DFE"/>
    <w:rsid w:val="009C0F46"/>
    <w:rsid w:val="009C119D"/>
    <w:rsid w:val="009C1343"/>
    <w:rsid w:val="009C1A05"/>
    <w:rsid w:val="009C203A"/>
    <w:rsid w:val="009C2CCE"/>
    <w:rsid w:val="009C405C"/>
    <w:rsid w:val="009C6A0C"/>
    <w:rsid w:val="009C6A0F"/>
    <w:rsid w:val="009C6C09"/>
    <w:rsid w:val="009C717F"/>
    <w:rsid w:val="009C76C0"/>
    <w:rsid w:val="009C7A64"/>
    <w:rsid w:val="009C7B6C"/>
    <w:rsid w:val="009C7C27"/>
    <w:rsid w:val="009C7F8E"/>
    <w:rsid w:val="009D015F"/>
    <w:rsid w:val="009D05F3"/>
    <w:rsid w:val="009D1332"/>
    <w:rsid w:val="009D1375"/>
    <w:rsid w:val="009D1807"/>
    <w:rsid w:val="009D192C"/>
    <w:rsid w:val="009D1D87"/>
    <w:rsid w:val="009D2582"/>
    <w:rsid w:val="009D276E"/>
    <w:rsid w:val="009D2B8B"/>
    <w:rsid w:val="009D2C63"/>
    <w:rsid w:val="009D2DAC"/>
    <w:rsid w:val="009D2F69"/>
    <w:rsid w:val="009D302E"/>
    <w:rsid w:val="009D34B1"/>
    <w:rsid w:val="009D3563"/>
    <w:rsid w:val="009D377D"/>
    <w:rsid w:val="009D3B08"/>
    <w:rsid w:val="009D44EC"/>
    <w:rsid w:val="009D47FA"/>
    <w:rsid w:val="009D499F"/>
    <w:rsid w:val="009D4BD4"/>
    <w:rsid w:val="009D4EC9"/>
    <w:rsid w:val="009D5467"/>
    <w:rsid w:val="009D5EAC"/>
    <w:rsid w:val="009D6664"/>
    <w:rsid w:val="009D66A4"/>
    <w:rsid w:val="009D67B5"/>
    <w:rsid w:val="009D6996"/>
    <w:rsid w:val="009D6F3D"/>
    <w:rsid w:val="009D7051"/>
    <w:rsid w:val="009D798C"/>
    <w:rsid w:val="009D7CE5"/>
    <w:rsid w:val="009D7DD2"/>
    <w:rsid w:val="009E041F"/>
    <w:rsid w:val="009E0F07"/>
    <w:rsid w:val="009E1095"/>
    <w:rsid w:val="009E1449"/>
    <w:rsid w:val="009E1C66"/>
    <w:rsid w:val="009E1D04"/>
    <w:rsid w:val="009E2358"/>
    <w:rsid w:val="009E2E2E"/>
    <w:rsid w:val="009E2FB4"/>
    <w:rsid w:val="009E310E"/>
    <w:rsid w:val="009E35DD"/>
    <w:rsid w:val="009E3873"/>
    <w:rsid w:val="009E433D"/>
    <w:rsid w:val="009E46B5"/>
    <w:rsid w:val="009E47DB"/>
    <w:rsid w:val="009E4897"/>
    <w:rsid w:val="009E4A6A"/>
    <w:rsid w:val="009E503F"/>
    <w:rsid w:val="009E58A7"/>
    <w:rsid w:val="009E5D9C"/>
    <w:rsid w:val="009E5E28"/>
    <w:rsid w:val="009E6BF0"/>
    <w:rsid w:val="009E6C6E"/>
    <w:rsid w:val="009E719B"/>
    <w:rsid w:val="009E72F1"/>
    <w:rsid w:val="009E74F6"/>
    <w:rsid w:val="009E794A"/>
    <w:rsid w:val="009E7AEF"/>
    <w:rsid w:val="009F0079"/>
    <w:rsid w:val="009F0863"/>
    <w:rsid w:val="009F0B6B"/>
    <w:rsid w:val="009F11D5"/>
    <w:rsid w:val="009F1332"/>
    <w:rsid w:val="009F2C96"/>
    <w:rsid w:val="009F3165"/>
    <w:rsid w:val="009F343B"/>
    <w:rsid w:val="009F3703"/>
    <w:rsid w:val="009F4231"/>
    <w:rsid w:val="009F4303"/>
    <w:rsid w:val="009F44BB"/>
    <w:rsid w:val="009F45FA"/>
    <w:rsid w:val="009F46DA"/>
    <w:rsid w:val="009F4A83"/>
    <w:rsid w:val="009F526A"/>
    <w:rsid w:val="009F6BBF"/>
    <w:rsid w:val="009F7198"/>
    <w:rsid w:val="009F7388"/>
    <w:rsid w:val="009F77CE"/>
    <w:rsid w:val="009F7B41"/>
    <w:rsid w:val="009F7C42"/>
    <w:rsid w:val="009F7C56"/>
    <w:rsid w:val="009F7E02"/>
    <w:rsid w:val="009F7E04"/>
    <w:rsid w:val="00A00390"/>
    <w:rsid w:val="00A0046A"/>
    <w:rsid w:val="00A00CEE"/>
    <w:rsid w:val="00A00FF2"/>
    <w:rsid w:val="00A01257"/>
    <w:rsid w:val="00A015A1"/>
    <w:rsid w:val="00A01815"/>
    <w:rsid w:val="00A01FEC"/>
    <w:rsid w:val="00A02349"/>
    <w:rsid w:val="00A029EA"/>
    <w:rsid w:val="00A02F8F"/>
    <w:rsid w:val="00A03FC9"/>
    <w:rsid w:val="00A0427C"/>
    <w:rsid w:val="00A04677"/>
    <w:rsid w:val="00A04B24"/>
    <w:rsid w:val="00A04EA5"/>
    <w:rsid w:val="00A04FB1"/>
    <w:rsid w:val="00A06482"/>
    <w:rsid w:val="00A06943"/>
    <w:rsid w:val="00A0695C"/>
    <w:rsid w:val="00A071F5"/>
    <w:rsid w:val="00A0725E"/>
    <w:rsid w:val="00A0765B"/>
    <w:rsid w:val="00A07B4A"/>
    <w:rsid w:val="00A07C02"/>
    <w:rsid w:val="00A07ED5"/>
    <w:rsid w:val="00A07FD8"/>
    <w:rsid w:val="00A10081"/>
    <w:rsid w:val="00A1116E"/>
    <w:rsid w:val="00A11244"/>
    <w:rsid w:val="00A1126B"/>
    <w:rsid w:val="00A115B0"/>
    <w:rsid w:val="00A11C20"/>
    <w:rsid w:val="00A12377"/>
    <w:rsid w:val="00A12592"/>
    <w:rsid w:val="00A1265E"/>
    <w:rsid w:val="00A12675"/>
    <w:rsid w:val="00A12961"/>
    <w:rsid w:val="00A12B50"/>
    <w:rsid w:val="00A12E0A"/>
    <w:rsid w:val="00A13006"/>
    <w:rsid w:val="00A13267"/>
    <w:rsid w:val="00A1387E"/>
    <w:rsid w:val="00A14521"/>
    <w:rsid w:val="00A1470F"/>
    <w:rsid w:val="00A14822"/>
    <w:rsid w:val="00A148CB"/>
    <w:rsid w:val="00A14C58"/>
    <w:rsid w:val="00A14CEC"/>
    <w:rsid w:val="00A15011"/>
    <w:rsid w:val="00A15050"/>
    <w:rsid w:val="00A157B0"/>
    <w:rsid w:val="00A15C18"/>
    <w:rsid w:val="00A15D5E"/>
    <w:rsid w:val="00A15EF8"/>
    <w:rsid w:val="00A1600A"/>
    <w:rsid w:val="00A164F1"/>
    <w:rsid w:val="00A16ACE"/>
    <w:rsid w:val="00A174A6"/>
    <w:rsid w:val="00A1757A"/>
    <w:rsid w:val="00A175FD"/>
    <w:rsid w:val="00A17DAD"/>
    <w:rsid w:val="00A17FDC"/>
    <w:rsid w:val="00A20085"/>
    <w:rsid w:val="00A205FE"/>
    <w:rsid w:val="00A20DA6"/>
    <w:rsid w:val="00A2133C"/>
    <w:rsid w:val="00A2185C"/>
    <w:rsid w:val="00A218A6"/>
    <w:rsid w:val="00A21E2F"/>
    <w:rsid w:val="00A22CD2"/>
    <w:rsid w:val="00A2323E"/>
    <w:rsid w:val="00A232C6"/>
    <w:rsid w:val="00A2331D"/>
    <w:rsid w:val="00A23882"/>
    <w:rsid w:val="00A23A9C"/>
    <w:rsid w:val="00A23E94"/>
    <w:rsid w:val="00A2401F"/>
    <w:rsid w:val="00A24039"/>
    <w:rsid w:val="00A24782"/>
    <w:rsid w:val="00A250BE"/>
    <w:rsid w:val="00A25125"/>
    <w:rsid w:val="00A2538A"/>
    <w:rsid w:val="00A25988"/>
    <w:rsid w:val="00A25B4D"/>
    <w:rsid w:val="00A25F54"/>
    <w:rsid w:val="00A25F5E"/>
    <w:rsid w:val="00A2601C"/>
    <w:rsid w:val="00A26184"/>
    <w:rsid w:val="00A2621E"/>
    <w:rsid w:val="00A262DF"/>
    <w:rsid w:val="00A26479"/>
    <w:rsid w:val="00A26C0B"/>
    <w:rsid w:val="00A26DBD"/>
    <w:rsid w:val="00A2702C"/>
    <w:rsid w:val="00A27821"/>
    <w:rsid w:val="00A27BDB"/>
    <w:rsid w:val="00A27C6F"/>
    <w:rsid w:val="00A3019A"/>
    <w:rsid w:val="00A301B0"/>
    <w:rsid w:val="00A307EE"/>
    <w:rsid w:val="00A311B2"/>
    <w:rsid w:val="00A317EE"/>
    <w:rsid w:val="00A31D91"/>
    <w:rsid w:val="00A32303"/>
    <w:rsid w:val="00A32386"/>
    <w:rsid w:val="00A32C5B"/>
    <w:rsid w:val="00A32E63"/>
    <w:rsid w:val="00A32FDA"/>
    <w:rsid w:val="00A33113"/>
    <w:rsid w:val="00A33756"/>
    <w:rsid w:val="00A339EB"/>
    <w:rsid w:val="00A33B08"/>
    <w:rsid w:val="00A34517"/>
    <w:rsid w:val="00A34749"/>
    <w:rsid w:val="00A34EBE"/>
    <w:rsid w:val="00A3532C"/>
    <w:rsid w:val="00A3604A"/>
    <w:rsid w:val="00A364C1"/>
    <w:rsid w:val="00A369EA"/>
    <w:rsid w:val="00A36D84"/>
    <w:rsid w:val="00A3774C"/>
    <w:rsid w:val="00A401B1"/>
    <w:rsid w:val="00A40416"/>
    <w:rsid w:val="00A40542"/>
    <w:rsid w:val="00A407CF"/>
    <w:rsid w:val="00A40910"/>
    <w:rsid w:val="00A40D00"/>
    <w:rsid w:val="00A418E2"/>
    <w:rsid w:val="00A41F91"/>
    <w:rsid w:val="00A4201E"/>
    <w:rsid w:val="00A4248E"/>
    <w:rsid w:val="00A42852"/>
    <w:rsid w:val="00A428DD"/>
    <w:rsid w:val="00A42B64"/>
    <w:rsid w:val="00A430D4"/>
    <w:rsid w:val="00A4394E"/>
    <w:rsid w:val="00A43A5B"/>
    <w:rsid w:val="00A44E40"/>
    <w:rsid w:val="00A44F8B"/>
    <w:rsid w:val="00A45BD5"/>
    <w:rsid w:val="00A4691A"/>
    <w:rsid w:val="00A46CC4"/>
    <w:rsid w:val="00A4730C"/>
    <w:rsid w:val="00A47382"/>
    <w:rsid w:val="00A4781C"/>
    <w:rsid w:val="00A47834"/>
    <w:rsid w:val="00A47BDC"/>
    <w:rsid w:val="00A47C3A"/>
    <w:rsid w:val="00A47E52"/>
    <w:rsid w:val="00A47ECD"/>
    <w:rsid w:val="00A50449"/>
    <w:rsid w:val="00A50CA1"/>
    <w:rsid w:val="00A511F5"/>
    <w:rsid w:val="00A51375"/>
    <w:rsid w:val="00A513D5"/>
    <w:rsid w:val="00A51588"/>
    <w:rsid w:val="00A5185A"/>
    <w:rsid w:val="00A51B0A"/>
    <w:rsid w:val="00A523DC"/>
    <w:rsid w:val="00A537CA"/>
    <w:rsid w:val="00A53C5A"/>
    <w:rsid w:val="00A53FE9"/>
    <w:rsid w:val="00A54120"/>
    <w:rsid w:val="00A54571"/>
    <w:rsid w:val="00A54792"/>
    <w:rsid w:val="00A54938"/>
    <w:rsid w:val="00A54BB3"/>
    <w:rsid w:val="00A556C8"/>
    <w:rsid w:val="00A55D3E"/>
    <w:rsid w:val="00A55EFA"/>
    <w:rsid w:val="00A56098"/>
    <w:rsid w:val="00A5615E"/>
    <w:rsid w:val="00A562E9"/>
    <w:rsid w:val="00A5633D"/>
    <w:rsid w:val="00A567D3"/>
    <w:rsid w:val="00A57564"/>
    <w:rsid w:val="00A577D6"/>
    <w:rsid w:val="00A57C20"/>
    <w:rsid w:val="00A60519"/>
    <w:rsid w:val="00A6130C"/>
    <w:rsid w:val="00A61336"/>
    <w:rsid w:val="00A6155D"/>
    <w:rsid w:val="00A6199F"/>
    <w:rsid w:val="00A61A7C"/>
    <w:rsid w:val="00A61F6D"/>
    <w:rsid w:val="00A62464"/>
    <w:rsid w:val="00A62A61"/>
    <w:rsid w:val="00A63416"/>
    <w:rsid w:val="00A635B3"/>
    <w:rsid w:val="00A6424B"/>
    <w:rsid w:val="00A64613"/>
    <w:rsid w:val="00A64963"/>
    <w:rsid w:val="00A64B91"/>
    <w:rsid w:val="00A64C3C"/>
    <w:rsid w:val="00A64F45"/>
    <w:rsid w:val="00A65A5A"/>
    <w:rsid w:val="00A65F87"/>
    <w:rsid w:val="00A6624E"/>
    <w:rsid w:val="00A662F7"/>
    <w:rsid w:val="00A66C22"/>
    <w:rsid w:val="00A66FF5"/>
    <w:rsid w:val="00A672FA"/>
    <w:rsid w:val="00A70527"/>
    <w:rsid w:val="00A70B0B"/>
    <w:rsid w:val="00A70C53"/>
    <w:rsid w:val="00A70F20"/>
    <w:rsid w:val="00A71056"/>
    <w:rsid w:val="00A718D0"/>
    <w:rsid w:val="00A71D2D"/>
    <w:rsid w:val="00A71EB9"/>
    <w:rsid w:val="00A72157"/>
    <w:rsid w:val="00A728B7"/>
    <w:rsid w:val="00A7331E"/>
    <w:rsid w:val="00A736BF"/>
    <w:rsid w:val="00A73A4D"/>
    <w:rsid w:val="00A73EE9"/>
    <w:rsid w:val="00A73F89"/>
    <w:rsid w:val="00A743E5"/>
    <w:rsid w:val="00A74802"/>
    <w:rsid w:val="00A75787"/>
    <w:rsid w:val="00A75A3D"/>
    <w:rsid w:val="00A7627B"/>
    <w:rsid w:val="00A768E9"/>
    <w:rsid w:val="00A7693B"/>
    <w:rsid w:val="00A76C98"/>
    <w:rsid w:val="00A76CB0"/>
    <w:rsid w:val="00A76DB9"/>
    <w:rsid w:val="00A76F25"/>
    <w:rsid w:val="00A775FB"/>
    <w:rsid w:val="00A77654"/>
    <w:rsid w:val="00A777D2"/>
    <w:rsid w:val="00A77B58"/>
    <w:rsid w:val="00A77C4E"/>
    <w:rsid w:val="00A77FA4"/>
    <w:rsid w:val="00A8078D"/>
    <w:rsid w:val="00A80834"/>
    <w:rsid w:val="00A80885"/>
    <w:rsid w:val="00A80891"/>
    <w:rsid w:val="00A809F2"/>
    <w:rsid w:val="00A81127"/>
    <w:rsid w:val="00A81263"/>
    <w:rsid w:val="00A819EE"/>
    <w:rsid w:val="00A8297A"/>
    <w:rsid w:val="00A82E76"/>
    <w:rsid w:val="00A831E4"/>
    <w:rsid w:val="00A835A0"/>
    <w:rsid w:val="00A84363"/>
    <w:rsid w:val="00A845AE"/>
    <w:rsid w:val="00A846FC"/>
    <w:rsid w:val="00A849AF"/>
    <w:rsid w:val="00A84CB3"/>
    <w:rsid w:val="00A84F83"/>
    <w:rsid w:val="00A8517A"/>
    <w:rsid w:val="00A851F0"/>
    <w:rsid w:val="00A86705"/>
    <w:rsid w:val="00A86A89"/>
    <w:rsid w:val="00A8724C"/>
    <w:rsid w:val="00A87CB4"/>
    <w:rsid w:val="00A87EA3"/>
    <w:rsid w:val="00A9021D"/>
    <w:rsid w:val="00A92140"/>
    <w:rsid w:val="00A922CC"/>
    <w:rsid w:val="00A92356"/>
    <w:rsid w:val="00A924E6"/>
    <w:rsid w:val="00A92876"/>
    <w:rsid w:val="00A93071"/>
    <w:rsid w:val="00A93192"/>
    <w:rsid w:val="00A9365A"/>
    <w:rsid w:val="00A93D47"/>
    <w:rsid w:val="00A93F86"/>
    <w:rsid w:val="00A9453A"/>
    <w:rsid w:val="00A950C2"/>
    <w:rsid w:val="00A95506"/>
    <w:rsid w:val="00A95931"/>
    <w:rsid w:val="00A959CC"/>
    <w:rsid w:val="00A95F9C"/>
    <w:rsid w:val="00A96033"/>
    <w:rsid w:val="00A96368"/>
    <w:rsid w:val="00A965ED"/>
    <w:rsid w:val="00A970AE"/>
    <w:rsid w:val="00A9733B"/>
    <w:rsid w:val="00A974EB"/>
    <w:rsid w:val="00A97A0C"/>
    <w:rsid w:val="00A97F2D"/>
    <w:rsid w:val="00A97FF3"/>
    <w:rsid w:val="00AA04F8"/>
    <w:rsid w:val="00AA06EC"/>
    <w:rsid w:val="00AA0AC0"/>
    <w:rsid w:val="00AA11C0"/>
    <w:rsid w:val="00AA1537"/>
    <w:rsid w:val="00AA17A3"/>
    <w:rsid w:val="00AA17CC"/>
    <w:rsid w:val="00AA1AC4"/>
    <w:rsid w:val="00AA1B8C"/>
    <w:rsid w:val="00AA1BB6"/>
    <w:rsid w:val="00AA1F9B"/>
    <w:rsid w:val="00AA20B7"/>
    <w:rsid w:val="00AA22B1"/>
    <w:rsid w:val="00AA23DA"/>
    <w:rsid w:val="00AA2427"/>
    <w:rsid w:val="00AA27E3"/>
    <w:rsid w:val="00AA28C8"/>
    <w:rsid w:val="00AA31C4"/>
    <w:rsid w:val="00AA326D"/>
    <w:rsid w:val="00AA32E9"/>
    <w:rsid w:val="00AA33DA"/>
    <w:rsid w:val="00AA33F8"/>
    <w:rsid w:val="00AA3499"/>
    <w:rsid w:val="00AA3859"/>
    <w:rsid w:val="00AA42F5"/>
    <w:rsid w:val="00AA4BF1"/>
    <w:rsid w:val="00AA4C17"/>
    <w:rsid w:val="00AA4CB5"/>
    <w:rsid w:val="00AA4E07"/>
    <w:rsid w:val="00AA5094"/>
    <w:rsid w:val="00AA62D0"/>
    <w:rsid w:val="00AA6322"/>
    <w:rsid w:val="00AA6425"/>
    <w:rsid w:val="00AA64B9"/>
    <w:rsid w:val="00AA6618"/>
    <w:rsid w:val="00AA6957"/>
    <w:rsid w:val="00AA6B01"/>
    <w:rsid w:val="00AA6CF6"/>
    <w:rsid w:val="00AA73C9"/>
    <w:rsid w:val="00AA7565"/>
    <w:rsid w:val="00AB00FD"/>
    <w:rsid w:val="00AB0659"/>
    <w:rsid w:val="00AB0B9B"/>
    <w:rsid w:val="00AB102E"/>
    <w:rsid w:val="00AB1803"/>
    <w:rsid w:val="00AB19A4"/>
    <w:rsid w:val="00AB224C"/>
    <w:rsid w:val="00AB29DA"/>
    <w:rsid w:val="00AB2A9E"/>
    <w:rsid w:val="00AB2BA4"/>
    <w:rsid w:val="00AB2BED"/>
    <w:rsid w:val="00AB303C"/>
    <w:rsid w:val="00AB3767"/>
    <w:rsid w:val="00AB387E"/>
    <w:rsid w:val="00AB397A"/>
    <w:rsid w:val="00AB3A40"/>
    <w:rsid w:val="00AB3A87"/>
    <w:rsid w:val="00AB4297"/>
    <w:rsid w:val="00AB4699"/>
    <w:rsid w:val="00AB469A"/>
    <w:rsid w:val="00AB473C"/>
    <w:rsid w:val="00AB4B27"/>
    <w:rsid w:val="00AB4E71"/>
    <w:rsid w:val="00AB4FA9"/>
    <w:rsid w:val="00AB582B"/>
    <w:rsid w:val="00AB587C"/>
    <w:rsid w:val="00AB6269"/>
    <w:rsid w:val="00AB63ED"/>
    <w:rsid w:val="00AB7054"/>
    <w:rsid w:val="00AB770A"/>
    <w:rsid w:val="00AC0008"/>
    <w:rsid w:val="00AC03C7"/>
    <w:rsid w:val="00AC112A"/>
    <w:rsid w:val="00AC1394"/>
    <w:rsid w:val="00AC1505"/>
    <w:rsid w:val="00AC1CA1"/>
    <w:rsid w:val="00AC2521"/>
    <w:rsid w:val="00AC26AD"/>
    <w:rsid w:val="00AC26FE"/>
    <w:rsid w:val="00AC287A"/>
    <w:rsid w:val="00AC3169"/>
    <w:rsid w:val="00AC32D5"/>
    <w:rsid w:val="00AC351D"/>
    <w:rsid w:val="00AC354D"/>
    <w:rsid w:val="00AC35EF"/>
    <w:rsid w:val="00AC3ACC"/>
    <w:rsid w:val="00AC46DA"/>
    <w:rsid w:val="00AC4AE1"/>
    <w:rsid w:val="00AC4BE9"/>
    <w:rsid w:val="00AC4DB3"/>
    <w:rsid w:val="00AC4DC6"/>
    <w:rsid w:val="00AC4F56"/>
    <w:rsid w:val="00AC5575"/>
    <w:rsid w:val="00AC568C"/>
    <w:rsid w:val="00AC572D"/>
    <w:rsid w:val="00AC57EE"/>
    <w:rsid w:val="00AC588E"/>
    <w:rsid w:val="00AC59D1"/>
    <w:rsid w:val="00AC5C4D"/>
    <w:rsid w:val="00AC5CC8"/>
    <w:rsid w:val="00AC5F73"/>
    <w:rsid w:val="00AC64DC"/>
    <w:rsid w:val="00AC65AC"/>
    <w:rsid w:val="00AC69F9"/>
    <w:rsid w:val="00AC6C2F"/>
    <w:rsid w:val="00AC75B2"/>
    <w:rsid w:val="00AC764D"/>
    <w:rsid w:val="00AC7DF3"/>
    <w:rsid w:val="00AD0693"/>
    <w:rsid w:val="00AD0759"/>
    <w:rsid w:val="00AD08A9"/>
    <w:rsid w:val="00AD0A21"/>
    <w:rsid w:val="00AD0AE5"/>
    <w:rsid w:val="00AD1056"/>
    <w:rsid w:val="00AD113D"/>
    <w:rsid w:val="00AD11FE"/>
    <w:rsid w:val="00AD2248"/>
    <w:rsid w:val="00AD2F59"/>
    <w:rsid w:val="00AD32DE"/>
    <w:rsid w:val="00AD3BEF"/>
    <w:rsid w:val="00AD3D09"/>
    <w:rsid w:val="00AD3D26"/>
    <w:rsid w:val="00AD45C3"/>
    <w:rsid w:val="00AD4B37"/>
    <w:rsid w:val="00AD56A3"/>
    <w:rsid w:val="00AD579F"/>
    <w:rsid w:val="00AD5F83"/>
    <w:rsid w:val="00AD61F9"/>
    <w:rsid w:val="00AD70A7"/>
    <w:rsid w:val="00AD7545"/>
    <w:rsid w:val="00AD7BAA"/>
    <w:rsid w:val="00AE0066"/>
    <w:rsid w:val="00AE016A"/>
    <w:rsid w:val="00AE02AF"/>
    <w:rsid w:val="00AE08D6"/>
    <w:rsid w:val="00AE098B"/>
    <w:rsid w:val="00AE09A8"/>
    <w:rsid w:val="00AE1003"/>
    <w:rsid w:val="00AE1039"/>
    <w:rsid w:val="00AE18C7"/>
    <w:rsid w:val="00AE1C09"/>
    <w:rsid w:val="00AE1CE9"/>
    <w:rsid w:val="00AE1EDE"/>
    <w:rsid w:val="00AE233D"/>
    <w:rsid w:val="00AE23FF"/>
    <w:rsid w:val="00AE2D6C"/>
    <w:rsid w:val="00AE2F67"/>
    <w:rsid w:val="00AE3878"/>
    <w:rsid w:val="00AE3E0E"/>
    <w:rsid w:val="00AE3FAB"/>
    <w:rsid w:val="00AE49EA"/>
    <w:rsid w:val="00AE4DCA"/>
    <w:rsid w:val="00AE505C"/>
    <w:rsid w:val="00AE57DD"/>
    <w:rsid w:val="00AE6324"/>
    <w:rsid w:val="00AE633A"/>
    <w:rsid w:val="00AE737E"/>
    <w:rsid w:val="00AE79E1"/>
    <w:rsid w:val="00AE7C6C"/>
    <w:rsid w:val="00AE7E01"/>
    <w:rsid w:val="00AF00AB"/>
    <w:rsid w:val="00AF048B"/>
    <w:rsid w:val="00AF04B9"/>
    <w:rsid w:val="00AF06C7"/>
    <w:rsid w:val="00AF0DA9"/>
    <w:rsid w:val="00AF1101"/>
    <w:rsid w:val="00AF14E7"/>
    <w:rsid w:val="00AF1567"/>
    <w:rsid w:val="00AF17AB"/>
    <w:rsid w:val="00AF2011"/>
    <w:rsid w:val="00AF22D6"/>
    <w:rsid w:val="00AF2493"/>
    <w:rsid w:val="00AF24E8"/>
    <w:rsid w:val="00AF24F4"/>
    <w:rsid w:val="00AF2912"/>
    <w:rsid w:val="00AF2A77"/>
    <w:rsid w:val="00AF31F9"/>
    <w:rsid w:val="00AF3211"/>
    <w:rsid w:val="00AF3408"/>
    <w:rsid w:val="00AF3EA4"/>
    <w:rsid w:val="00AF4215"/>
    <w:rsid w:val="00AF48C2"/>
    <w:rsid w:val="00AF4C03"/>
    <w:rsid w:val="00AF58BB"/>
    <w:rsid w:val="00AF58FF"/>
    <w:rsid w:val="00AF59D9"/>
    <w:rsid w:val="00AF5AD6"/>
    <w:rsid w:val="00AF5C6B"/>
    <w:rsid w:val="00AF69EE"/>
    <w:rsid w:val="00AF758E"/>
    <w:rsid w:val="00AF7ACD"/>
    <w:rsid w:val="00AF7B23"/>
    <w:rsid w:val="00AF7B8F"/>
    <w:rsid w:val="00AF7CE2"/>
    <w:rsid w:val="00AF7E73"/>
    <w:rsid w:val="00AF7E95"/>
    <w:rsid w:val="00AF7F13"/>
    <w:rsid w:val="00B00091"/>
    <w:rsid w:val="00B00101"/>
    <w:rsid w:val="00B00176"/>
    <w:rsid w:val="00B0028E"/>
    <w:rsid w:val="00B00C86"/>
    <w:rsid w:val="00B0170E"/>
    <w:rsid w:val="00B01824"/>
    <w:rsid w:val="00B02299"/>
    <w:rsid w:val="00B02783"/>
    <w:rsid w:val="00B027C3"/>
    <w:rsid w:val="00B02809"/>
    <w:rsid w:val="00B03AF1"/>
    <w:rsid w:val="00B03C0F"/>
    <w:rsid w:val="00B03F42"/>
    <w:rsid w:val="00B043DC"/>
    <w:rsid w:val="00B0466B"/>
    <w:rsid w:val="00B0470F"/>
    <w:rsid w:val="00B04819"/>
    <w:rsid w:val="00B0541C"/>
    <w:rsid w:val="00B057DC"/>
    <w:rsid w:val="00B059B9"/>
    <w:rsid w:val="00B059D0"/>
    <w:rsid w:val="00B063E1"/>
    <w:rsid w:val="00B0675D"/>
    <w:rsid w:val="00B06EB6"/>
    <w:rsid w:val="00B0745B"/>
    <w:rsid w:val="00B07585"/>
    <w:rsid w:val="00B07B52"/>
    <w:rsid w:val="00B10160"/>
    <w:rsid w:val="00B1061A"/>
    <w:rsid w:val="00B10676"/>
    <w:rsid w:val="00B108F5"/>
    <w:rsid w:val="00B10E5C"/>
    <w:rsid w:val="00B10F37"/>
    <w:rsid w:val="00B1131A"/>
    <w:rsid w:val="00B11392"/>
    <w:rsid w:val="00B121D0"/>
    <w:rsid w:val="00B128BE"/>
    <w:rsid w:val="00B12B21"/>
    <w:rsid w:val="00B12E92"/>
    <w:rsid w:val="00B13269"/>
    <w:rsid w:val="00B14718"/>
    <w:rsid w:val="00B14EE9"/>
    <w:rsid w:val="00B1551E"/>
    <w:rsid w:val="00B156C4"/>
    <w:rsid w:val="00B15784"/>
    <w:rsid w:val="00B157B6"/>
    <w:rsid w:val="00B16610"/>
    <w:rsid w:val="00B16870"/>
    <w:rsid w:val="00B169E8"/>
    <w:rsid w:val="00B16BC1"/>
    <w:rsid w:val="00B16C2B"/>
    <w:rsid w:val="00B16D9C"/>
    <w:rsid w:val="00B170D8"/>
    <w:rsid w:val="00B17200"/>
    <w:rsid w:val="00B1791D"/>
    <w:rsid w:val="00B17C28"/>
    <w:rsid w:val="00B2049F"/>
    <w:rsid w:val="00B20812"/>
    <w:rsid w:val="00B217B6"/>
    <w:rsid w:val="00B21DB5"/>
    <w:rsid w:val="00B22EC0"/>
    <w:rsid w:val="00B23286"/>
    <w:rsid w:val="00B23357"/>
    <w:rsid w:val="00B2352D"/>
    <w:rsid w:val="00B2363A"/>
    <w:rsid w:val="00B23C2B"/>
    <w:rsid w:val="00B23F05"/>
    <w:rsid w:val="00B245F2"/>
    <w:rsid w:val="00B24AEB"/>
    <w:rsid w:val="00B24C72"/>
    <w:rsid w:val="00B255E0"/>
    <w:rsid w:val="00B25D02"/>
    <w:rsid w:val="00B26FEB"/>
    <w:rsid w:val="00B27290"/>
    <w:rsid w:val="00B27394"/>
    <w:rsid w:val="00B27417"/>
    <w:rsid w:val="00B274AF"/>
    <w:rsid w:val="00B2767E"/>
    <w:rsid w:val="00B27A99"/>
    <w:rsid w:val="00B27F57"/>
    <w:rsid w:val="00B30214"/>
    <w:rsid w:val="00B30233"/>
    <w:rsid w:val="00B30503"/>
    <w:rsid w:val="00B306AC"/>
    <w:rsid w:val="00B30836"/>
    <w:rsid w:val="00B308A3"/>
    <w:rsid w:val="00B31360"/>
    <w:rsid w:val="00B31DED"/>
    <w:rsid w:val="00B31E1D"/>
    <w:rsid w:val="00B320C4"/>
    <w:rsid w:val="00B324F3"/>
    <w:rsid w:val="00B325D9"/>
    <w:rsid w:val="00B328BD"/>
    <w:rsid w:val="00B32C6E"/>
    <w:rsid w:val="00B332D4"/>
    <w:rsid w:val="00B3374C"/>
    <w:rsid w:val="00B33B2D"/>
    <w:rsid w:val="00B3477B"/>
    <w:rsid w:val="00B34E03"/>
    <w:rsid w:val="00B3511C"/>
    <w:rsid w:val="00B3560B"/>
    <w:rsid w:val="00B35A49"/>
    <w:rsid w:val="00B36942"/>
    <w:rsid w:val="00B3696A"/>
    <w:rsid w:val="00B36E92"/>
    <w:rsid w:val="00B371CD"/>
    <w:rsid w:val="00B37819"/>
    <w:rsid w:val="00B37DD3"/>
    <w:rsid w:val="00B37FAE"/>
    <w:rsid w:val="00B41022"/>
    <w:rsid w:val="00B41062"/>
    <w:rsid w:val="00B410FA"/>
    <w:rsid w:val="00B413F4"/>
    <w:rsid w:val="00B41475"/>
    <w:rsid w:val="00B41496"/>
    <w:rsid w:val="00B4172A"/>
    <w:rsid w:val="00B41A9B"/>
    <w:rsid w:val="00B41C86"/>
    <w:rsid w:val="00B42037"/>
    <w:rsid w:val="00B428C9"/>
    <w:rsid w:val="00B42D92"/>
    <w:rsid w:val="00B42DE2"/>
    <w:rsid w:val="00B43352"/>
    <w:rsid w:val="00B439E5"/>
    <w:rsid w:val="00B43DC9"/>
    <w:rsid w:val="00B44018"/>
    <w:rsid w:val="00B4407F"/>
    <w:rsid w:val="00B44304"/>
    <w:rsid w:val="00B4435F"/>
    <w:rsid w:val="00B44909"/>
    <w:rsid w:val="00B452BF"/>
    <w:rsid w:val="00B4587C"/>
    <w:rsid w:val="00B463BB"/>
    <w:rsid w:val="00B46ACA"/>
    <w:rsid w:val="00B46F8B"/>
    <w:rsid w:val="00B46FA1"/>
    <w:rsid w:val="00B47A7B"/>
    <w:rsid w:val="00B47B12"/>
    <w:rsid w:val="00B50AB5"/>
    <w:rsid w:val="00B50B4C"/>
    <w:rsid w:val="00B50BD7"/>
    <w:rsid w:val="00B50CFA"/>
    <w:rsid w:val="00B51198"/>
    <w:rsid w:val="00B519AA"/>
    <w:rsid w:val="00B519C2"/>
    <w:rsid w:val="00B51BB0"/>
    <w:rsid w:val="00B52102"/>
    <w:rsid w:val="00B52291"/>
    <w:rsid w:val="00B53956"/>
    <w:rsid w:val="00B53B4E"/>
    <w:rsid w:val="00B54068"/>
    <w:rsid w:val="00B5429A"/>
    <w:rsid w:val="00B54C41"/>
    <w:rsid w:val="00B54E3A"/>
    <w:rsid w:val="00B556C9"/>
    <w:rsid w:val="00B55731"/>
    <w:rsid w:val="00B55C6B"/>
    <w:rsid w:val="00B5628F"/>
    <w:rsid w:val="00B564B3"/>
    <w:rsid w:val="00B56AA7"/>
    <w:rsid w:val="00B57567"/>
    <w:rsid w:val="00B57718"/>
    <w:rsid w:val="00B57831"/>
    <w:rsid w:val="00B579CA"/>
    <w:rsid w:val="00B57E66"/>
    <w:rsid w:val="00B60137"/>
    <w:rsid w:val="00B60786"/>
    <w:rsid w:val="00B60B2C"/>
    <w:rsid w:val="00B60BA9"/>
    <w:rsid w:val="00B60C77"/>
    <w:rsid w:val="00B61D3A"/>
    <w:rsid w:val="00B61FB5"/>
    <w:rsid w:val="00B62111"/>
    <w:rsid w:val="00B623A2"/>
    <w:rsid w:val="00B6268E"/>
    <w:rsid w:val="00B633E5"/>
    <w:rsid w:val="00B6377F"/>
    <w:rsid w:val="00B64402"/>
    <w:rsid w:val="00B64ADB"/>
    <w:rsid w:val="00B65A75"/>
    <w:rsid w:val="00B65ADF"/>
    <w:rsid w:val="00B662A2"/>
    <w:rsid w:val="00B662BA"/>
    <w:rsid w:val="00B668F1"/>
    <w:rsid w:val="00B673A3"/>
    <w:rsid w:val="00B6757E"/>
    <w:rsid w:val="00B67A8E"/>
    <w:rsid w:val="00B67FD1"/>
    <w:rsid w:val="00B705B8"/>
    <w:rsid w:val="00B70FC7"/>
    <w:rsid w:val="00B71AEF"/>
    <w:rsid w:val="00B71B86"/>
    <w:rsid w:val="00B7242D"/>
    <w:rsid w:val="00B7242E"/>
    <w:rsid w:val="00B72A45"/>
    <w:rsid w:val="00B72A56"/>
    <w:rsid w:val="00B732B5"/>
    <w:rsid w:val="00B732BF"/>
    <w:rsid w:val="00B736F1"/>
    <w:rsid w:val="00B73833"/>
    <w:rsid w:val="00B739A4"/>
    <w:rsid w:val="00B745D0"/>
    <w:rsid w:val="00B748C3"/>
    <w:rsid w:val="00B74A0F"/>
    <w:rsid w:val="00B75053"/>
    <w:rsid w:val="00B75131"/>
    <w:rsid w:val="00B75E54"/>
    <w:rsid w:val="00B7604B"/>
    <w:rsid w:val="00B764A3"/>
    <w:rsid w:val="00B7653C"/>
    <w:rsid w:val="00B76781"/>
    <w:rsid w:val="00B768DE"/>
    <w:rsid w:val="00B77A92"/>
    <w:rsid w:val="00B77CD7"/>
    <w:rsid w:val="00B802C5"/>
    <w:rsid w:val="00B80433"/>
    <w:rsid w:val="00B80689"/>
    <w:rsid w:val="00B806E2"/>
    <w:rsid w:val="00B8099F"/>
    <w:rsid w:val="00B80CE3"/>
    <w:rsid w:val="00B81740"/>
    <w:rsid w:val="00B81DD0"/>
    <w:rsid w:val="00B81E41"/>
    <w:rsid w:val="00B821F9"/>
    <w:rsid w:val="00B825F4"/>
    <w:rsid w:val="00B82D04"/>
    <w:rsid w:val="00B82D78"/>
    <w:rsid w:val="00B83AF1"/>
    <w:rsid w:val="00B83E0A"/>
    <w:rsid w:val="00B83F0C"/>
    <w:rsid w:val="00B843BC"/>
    <w:rsid w:val="00B8465E"/>
    <w:rsid w:val="00B8483B"/>
    <w:rsid w:val="00B84E9E"/>
    <w:rsid w:val="00B851F2"/>
    <w:rsid w:val="00B856C7"/>
    <w:rsid w:val="00B85762"/>
    <w:rsid w:val="00B858DA"/>
    <w:rsid w:val="00B86677"/>
    <w:rsid w:val="00B869C9"/>
    <w:rsid w:val="00B86BB9"/>
    <w:rsid w:val="00B86D06"/>
    <w:rsid w:val="00B87506"/>
    <w:rsid w:val="00B8755A"/>
    <w:rsid w:val="00B875D4"/>
    <w:rsid w:val="00B87FE6"/>
    <w:rsid w:val="00B9022C"/>
    <w:rsid w:val="00B90453"/>
    <w:rsid w:val="00B904FB"/>
    <w:rsid w:val="00B905F0"/>
    <w:rsid w:val="00B9094E"/>
    <w:rsid w:val="00B90FC8"/>
    <w:rsid w:val="00B913D8"/>
    <w:rsid w:val="00B91852"/>
    <w:rsid w:val="00B91A1B"/>
    <w:rsid w:val="00B91C98"/>
    <w:rsid w:val="00B9242F"/>
    <w:rsid w:val="00B92F04"/>
    <w:rsid w:val="00B93488"/>
    <w:rsid w:val="00B943D5"/>
    <w:rsid w:val="00B94ACD"/>
    <w:rsid w:val="00B94CEC"/>
    <w:rsid w:val="00B9505D"/>
    <w:rsid w:val="00B95235"/>
    <w:rsid w:val="00B9561B"/>
    <w:rsid w:val="00B95C80"/>
    <w:rsid w:val="00B96070"/>
    <w:rsid w:val="00B96305"/>
    <w:rsid w:val="00B96C4A"/>
    <w:rsid w:val="00B96EA8"/>
    <w:rsid w:val="00B97246"/>
    <w:rsid w:val="00BA023B"/>
    <w:rsid w:val="00BA05D6"/>
    <w:rsid w:val="00BA0824"/>
    <w:rsid w:val="00BA124C"/>
    <w:rsid w:val="00BA174F"/>
    <w:rsid w:val="00BA18EC"/>
    <w:rsid w:val="00BA1BC0"/>
    <w:rsid w:val="00BA1E6D"/>
    <w:rsid w:val="00BA21C0"/>
    <w:rsid w:val="00BA2C09"/>
    <w:rsid w:val="00BA2C68"/>
    <w:rsid w:val="00BA2E9F"/>
    <w:rsid w:val="00BA2F4A"/>
    <w:rsid w:val="00BA3123"/>
    <w:rsid w:val="00BA3395"/>
    <w:rsid w:val="00BA3BC0"/>
    <w:rsid w:val="00BA3CE2"/>
    <w:rsid w:val="00BA428E"/>
    <w:rsid w:val="00BA4FE0"/>
    <w:rsid w:val="00BA542C"/>
    <w:rsid w:val="00BA5796"/>
    <w:rsid w:val="00BA57A4"/>
    <w:rsid w:val="00BA5DD5"/>
    <w:rsid w:val="00BA609A"/>
    <w:rsid w:val="00BA66E1"/>
    <w:rsid w:val="00BA68AC"/>
    <w:rsid w:val="00BA6A94"/>
    <w:rsid w:val="00BA6B8D"/>
    <w:rsid w:val="00BA6BFD"/>
    <w:rsid w:val="00BA6E5B"/>
    <w:rsid w:val="00BA710C"/>
    <w:rsid w:val="00BA786F"/>
    <w:rsid w:val="00BA7924"/>
    <w:rsid w:val="00BA7BFD"/>
    <w:rsid w:val="00BA7D45"/>
    <w:rsid w:val="00BA7DD5"/>
    <w:rsid w:val="00BB0CFB"/>
    <w:rsid w:val="00BB116A"/>
    <w:rsid w:val="00BB120A"/>
    <w:rsid w:val="00BB15D7"/>
    <w:rsid w:val="00BB1680"/>
    <w:rsid w:val="00BB1681"/>
    <w:rsid w:val="00BB1CDF"/>
    <w:rsid w:val="00BB1E15"/>
    <w:rsid w:val="00BB273C"/>
    <w:rsid w:val="00BB2B32"/>
    <w:rsid w:val="00BB2D3A"/>
    <w:rsid w:val="00BB33FA"/>
    <w:rsid w:val="00BB34C7"/>
    <w:rsid w:val="00BB3927"/>
    <w:rsid w:val="00BB4095"/>
    <w:rsid w:val="00BB48A7"/>
    <w:rsid w:val="00BB5054"/>
    <w:rsid w:val="00BB5383"/>
    <w:rsid w:val="00BB53AE"/>
    <w:rsid w:val="00BB5643"/>
    <w:rsid w:val="00BB5685"/>
    <w:rsid w:val="00BB678B"/>
    <w:rsid w:val="00BB6A5B"/>
    <w:rsid w:val="00BB6A9C"/>
    <w:rsid w:val="00BB6B95"/>
    <w:rsid w:val="00BB745E"/>
    <w:rsid w:val="00BB7990"/>
    <w:rsid w:val="00BB7E5C"/>
    <w:rsid w:val="00BC04F1"/>
    <w:rsid w:val="00BC0827"/>
    <w:rsid w:val="00BC11F8"/>
    <w:rsid w:val="00BC1524"/>
    <w:rsid w:val="00BC1588"/>
    <w:rsid w:val="00BC1614"/>
    <w:rsid w:val="00BC1BF4"/>
    <w:rsid w:val="00BC1C61"/>
    <w:rsid w:val="00BC2264"/>
    <w:rsid w:val="00BC22BF"/>
    <w:rsid w:val="00BC26B8"/>
    <w:rsid w:val="00BC2B66"/>
    <w:rsid w:val="00BC31DC"/>
    <w:rsid w:val="00BC3310"/>
    <w:rsid w:val="00BC361E"/>
    <w:rsid w:val="00BC36C9"/>
    <w:rsid w:val="00BC3802"/>
    <w:rsid w:val="00BC3CA6"/>
    <w:rsid w:val="00BC3FC0"/>
    <w:rsid w:val="00BC4AC5"/>
    <w:rsid w:val="00BC4F6F"/>
    <w:rsid w:val="00BC5A0D"/>
    <w:rsid w:val="00BC61DB"/>
    <w:rsid w:val="00BC6473"/>
    <w:rsid w:val="00BC659E"/>
    <w:rsid w:val="00BC6E10"/>
    <w:rsid w:val="00BC6E55"/>
    <w:rsid w:val="00BC7082"/>
    <w:rsid w:val="00BC71F0"/>
    <w:rsid w:val="00BC73D7"/>
    <w:rsid w:val="00BC73DB"/>
    <w:rsid w:val="00BC7761"/>
    <w:rsid w:val="00BC78B9"/>
    <w:rsid w:val="00BC7C33"/>
    <w:rsid w:val="00BC7DE3"/>
    <w:rsid w:val="00BD07DE"/>
    <w:rsid w:val="00BD07FF"/>
    <w:rsid w:val="00BD106D"/>
    <w:rsid w:val="00BD10EB"/>
    <w:rsid w:val="00BD18F3"/>
    <w:rsid w:val="00BD1CA3"/>
    <w:rsid w:val="00BD1DD7"/>
    <w:rsid w:val="00BD2621"/>
    <w:rsid w:val="00BD2FC4"/>
    <w:rsid w:val="00BD4073"/>
    <w:rsid w:val="00BD40C6"/>
    <w:rsid w:val="00BD415B"/>
    <w:rsid w:val="00BD43E1"/>
    <w:rsid w:val="00BD4E85"/>
    <w:rsid w:val="00BD514E"/>
    <w:rsid w:val="00BD54A1"/>
    <w:rsid w:val="00BD573D"/>
    <w:rsid w:val="00BD5753"/>
    <w:rsid w:val="00BD5BFA"/>
    <w:rsid w:val="00BD5D50"/>
    <w:rsid w:val="00BD61B5"/>
    <w:rsid w:val="00BD697F"/>
    <w:rsid w:val="00BD6BC4"/>
    <w:rsid w:val="00BD6C72"/>
    <w:rsid w:val="00BD6C7A"/>
    <w:rsid w:val="00BD6E21"/>
    <w:rsid w:val="00BD6F95"/>
    <w:rsid w:val="00BD72E5"/>
    <w:rsid w:val="00BD7399"/>
    <w:rsid w:val="00BD76EA"/>
    <w:rsid w:val="00BD7C77"/>
    <w:rsid w:val="00BE0054"/>
    <w:rsid w:val="00BE0702"/>
    <w:rsid w:val="00BE0AF7"/>
    <w:rsid w:val="00BE0BBB"/>
    <w:rsid w:val="00BE12C6"/>
    <w:rsid w:val="00BE1711"/>
    <w:rsid w:val="00BE1777"/>
    <w:rsid w:val="00BE1FF5"/>
    <w:rsid w:val="00BE25E6"/>
    <w:rsid w:val="00BE2991"/>
    <w:rsid w:val="00BE2F01"/>
    <w:rsid w:val="00BE304C"/>
    <w:rsid w:val="00BE31FB"/>
    <w:rsid w:val="00BE3572"/>
    <w:rsid w:val="00BE399D"/>
    <w:rsid w:val="00BE39FF"/>
    <w:rsid w:val="00BE3A38"/>
    <w:rsid w:val="00BE3C13"/>
    <w:rsid w:val="00BE3DDD"/>
    <w:rsid w:val="00BE3E67"/>
    <w:rsid w:val="00BE4264"/>
    <w:rsid w:val="00BE43B5"/>
    <w:rsid w:val="00BE462A"/>
    <w:rsid w:val="00BE5ADB"/>
    <w:rsid w:val="00BE5B4C"/>
    <w:rsid w:val="00BE5D95"/>
    <w:rsid w:val="00BE6224"/>
    <w:rsid w:val="00BE6528"/>
    <w:rsid w:val="00BE65D6"/>
    <w:rsid w:val="00BE6750"/>
    <w:rsid w:val="00BE6D30"/>
    <w:rsid w:val="00BE78DD"/>
    <w:rsid w:val="00BF01B0"/>
    <w:rsid w:val="00BF0440"/>
    <w:rsid w:val="00BF0C41"/>
    <w:rsid w:val="00BF0D6A"/>
    <w:rsid w:val="00BF11A2"/>
    <w:rsid w:val="00BF141E"/>
    <w:rsid w:val="00BF1A10"/>
    <w:rsid w:val="00BF1CC4"/>
    <w:rsid w:val="00BF22A9"/>
    <w:rsid w:val="00BF23C7"/>
    <w:rsid w:val="00BF2BAE"/>
    <w:rsid w:val="00BF3863"/>
    <w:rsid w:val="00BF3A1F"/>
    <w:rsid w:val="00BF413D"/>
    <w:rsid w:val="00BF47DB"/>
    <w:rsid w:val="00BF4F49"/>
    <w:rsid w:val="00BF5574"/>
    <w:rsid w:val="00BF5A5F"/>
    <w:rsid w:val="00BF5CE6"/>
    <w:rsid w:val="00BF5FAF"/>
    <w:rsid w:val="00BF621A"/>
    <w:rsid w:val="00BF651F"/>
    <w:rsid w:val="00BF6B07"/>
    <w:rsid w:val="00BF7243"/>
    <w:rsid w:val="00BF7AB9"/>
    <w:rsid w:val="00BF7C50"/>
    <w:rsid w:val="00C009C1"/>
    <w:rsid w:val="00C00AD4"/>
    <w:rsid w:val="00C00C4D"/>
    <w:rsid w:val="00C013D7"/>
    <w:rsid w:val="00C0236C"/>
    <w:rsid w:val="00C02471"/>
    <w:rsid w:val="00C02B58"/>
    <w:rsid w:val="00C02C45"/>
    <w:rsid w:val="00C02E2B"/>
    <w:rsid w:val="00C0349B"/>
    <w:rsid w:val="00C0380C"/>
    <w:rsid w:val="00C042ED"/>
    <w:rsid w:val="00C04330"/>
    <w:rsid w:val="00C0475B"/>
    <w:rsid w:val="00C04A74"/>
    <w:rsid w:val="00C04B37"/>
    <w:rsid w:val="00C05497"/>
    <w:rsid w:val="00C055E5"/>
    <w:rsid w:val="00C05C69"/>
    <w:rsid w:val="00C05C82"/>
    <w:rsid w:val="00C05D97"/>
    <w:rsid w:val="00C05ED7"/>
    <w:rsid w:val="00C06C01"/>
    <w:rsid w:val="00C07688"/>
    <w:rsid w:val="00C07917"/>
    <w:rsid w:val="00C1004B"/>
    <w:rsid w:val="00C100F8"/>
    <w:rsid w:val="00C1030C"/>
    <w:rsid w:val="00C10926"/>
    <w:rsid w:val="00C109E2"/>
    <w:rsid w:val="00C10B4C"/>
    <w:rsid w:val="00C10C83"/>
    <w:rsid w:val="00C10D69"/>
    <w:rsid w:val="00C10D9E"/>
    <w:rsid w:val="00C11566"/>
    <w:rsid w:val="00C11862"/>
    <w:rsid w:val="00C11B45"/>
    <w:rsid w:val="00C11B8A"/>
    <w:rsid w:val="00C11DAF"/>
    <w:rsid w:val="00C13470"/>
    <w:rsid w:val="00C13864"/>
    <w:rsid w:val="00C13AA4"/>
    <w:rsid w:val="00C13AD4"/>
    <w:rsid w:val="00C13EF6"/>
    <w:rsid w:val="00C13FF7"/>
    <w:rsid w:val="00C148CF"/>
    <w:rsid w:val="00C149E3"/>
    <w:rsid w:val="00C14B7F"/>
    <w:rsid w:val="00C14D5A"/>
    <w:rsid w:val="00C14D8F"/>
    <w:rsid w:val="00C152B1"/>
    <w:rsid w:val="00C15842"/>
    <w:rsid w:val="00C158CC"/>
    <w:rsid w:val="00C16A30"/>
    <w:rsid w:val="00C16ED5"/>
    <w:rsid w:val="00C17700"/>
    <w:rsid w:val="00C17C4F"/>
    <w:rsid w:val="00C20C34"/>
    <w:rsid w:val="00C20CE7"/>
    <w:rsid w:val="00C21348"/>
    <w:rsid w:val="00C2159C"/>
    <w:rsid w:val="00C2175A"/>
    <w:rsid w:val="00C21B1E"/>
    <w:rsid w:val="00C21C8F"/>
    <w:rsid w:val="00C2219A"/>
    <w:rsid w:val="00C22479"/>
    <w:rsid w:val="00C22625"/>
    <w:rsid w:val="00C22942"/>
    <w:rsid w:val="00C22BB7"/>
    <w:rsid w:val="00C22CC2"/>
    <w:rsid w:val="00C22EED"/>
    <w:rsid w:val="00C239D9"/>
    <w:rsid w:val="00C23A1B"/>
    <w:rsid w:val="00C23E2E"/>
    <w:rsid w:val="00C23ED4"/>
    <w:rsid w:val="00C2425C"/>
    <w:rsid w:val="00C24375"/>
    <w:rsid w:val="00C24B28"/>
    <w:rsid w:val="00C24B71"/>
    <w:rsid w:val="00C2573D"/>
    <w:rsid w:val="00C257C9"/>
    <w:rsid w:val="00C257E0"/>
    <w:rsid w:val="00C25D71"/>
    <w:rsid w:val="00C25DB0"/>
    <w:rsid w:val="00C260A6"/>
    <w:rsid w:val="00C26521"/>
    <w:rsid w:val="00C2679C"/>
    <w:rsid w:val="00C27E67"/>
    <w:rsid w:val="00C30114"/>
    <w:rsid w:val="00C30155"/>
    <w:rsid w:val="00C301B3"/>
    <w:rsid w:val="00C30639"/>
    <w:rsid w:val="00C30F97"/>
    <w:rsid w:val="00C3133B"/>
    <w:rsid w:val="00C31805"/>
    <w:rsid w:val="00C31B49"/>
    <w:rsid w:val="00C32887"/>
    <w:rsid w:val="00C329CE"/>
    <w:rsid w:val="00C32F4B"/>
    <w:rsid w:val="00C32F98"/>
    <w:rsid w:val="00C333B8"/>
    <w:rsid w:val="00C33520"/>
    <w:rsid w:val="00C33C77"/>
    <w:rsid w:val="00C33DBA"/>
    <w:rsid w:val="00C33EE9"/>
    <w:rsid w:val="00C342B2"/>
    <w:rsid w:val="00C3439F"/>
    <w:rsid w:val="00C34765"/>
    <w:rsid w:val="00C34AF6"/>
    <w:rsid w:val="00C34DD7"/>
    <w:rsid w:val="00C34E1E"/>
    <w:rsid w:val="00C34FAA"/>
    <w:rsid w:val="00C35498"/>
    <w:rsid w:val="00C35E41"/>
    <w:rsid w:val="00C36151"/>
    <w:rsid w:val="00C3702C"/>
    <w:rsid w:val="00C370E2"/>
    <w:rsid w:val="00C37A48"/>
    <w:rsid w:val="00C406A5"/>
    <w:rsid w:val="00C40877"/>
    <w:rsid w:val="00C418BC"/>
    <w:rsid w:val="00C41B3E"/>
    <w:rsid w:val="00C41B51"/>
    <w:rsid w:val="00C42317"/>
    <w:rsid w:val="00C43427"/>
    <w:rsid w:val="00C4342F"/>
    <w:rsid w:val="00C44C79"/>
    <w:rsid w:val="00C44F8A"/>
    <w:rsid w:val="00C450F6"/>
    <w:rsid w:val="00C455D4"/>
    <w:rsid w:val="00C45651"/>
    <w:rsid w:val="00C45709"/>
    <w:rsid w:val="00C45D24"/>
    <w:rsid w:val="00C45D94"/>
    <w:rsid w:val="00C461E5"/>
    <w:rsid w:val="00C4669C"/>
    <w:rsid w:val="00C46A14"/>
    <w:rsid w:val="00C46AFF"/>
    <w:rsid w:val="00C46CC1"/>
    <w:rsid w:val="00C4716E"/>
    <w:rsid w:val="00C476B9"/>
    <w:rsid w:val="00C479E4"/>
    <w:rsid w:val="00C47E7D"/>
    <w:rsid w:val="00C5079A"/>
    <w:rsid w:val="00C51200"/>
    <w:rsid w:val="00C513B1"/>
    <w:rsid w:val="00C51545"/>
    <w:rsid w:val="00C51B31"/>
    <w:rsid w:val="00C51C2B"/>
    <w:rsid w:val="00C520FA"/>
    <w:rsid w:val="00C538EA"/>
    <w:rsid w:val="00C53F9E"/>
    <w:rsid w:val="00C53FA7"/>
    <w:rsid w:val="00C546EA"/>
    <w:rsid w:val="00C54BD0"/>
    <w:rsid w:val="00C550B3"/>
    <w:rsid w:val="00C55407"/>
    <w:rsid w:val="00C55515"/>
    <w:rsid w:val="00C55551"/>
    <w:rsid w:val="00C565CF"/>
    <w:rsid w:val="00C56A50"/>
    <w:rsid w:val="00C56CBC"/>
    <w:rsid w:val="00C56DE1"/>
    <w:rsid w:val="00C5769E"/>
    <w:rsid w:val="00C57B0C"/>
    <w:rsid w:val="00C60A0A"/>
    <w:rsid w:val="00C60C02"/>
    <w:rsid w:val="00C60F01"/>
    <w:rsid w:val="00C61901"/>
    <w:rsid w:val="00C61E01"/>
    <w:rsid w:val="00C6234A"/>
    <w:rsid w:val="00C626C6"/>
    <w:rsid w:val="00C62837"/>
    <w:rsid w:val="00C62B75"/>
    <w:rsid w:val="00C6340D"/>
    <w:rsid w:val="00C6376F"/>
    <w:rsid w:val="00C648E1"/>
    <w:rsid w:val="00C64CB1"/>
    <w:rsid w:val="00C64D66"/>
    <w:rsid w:val="00C65192"/>
    <w:rsid w:val="00C651A3"/>
    <w:rsid w:val="00C6567C"/>
    <w:rsid w:val="00C656EB"/>
    <w:rsid w:val="00C662C1"/>
    <w:rsid w:val="00C66506"/>
    <w:rsid w:val="00C666AC"/>
    <w:rsid w:val="00C66E6D"/>
    <w:rsid w:val="00C66FE1"/>
    <w:rsid w:val="00C67846"/>
    <w:rsid w:val="00C6798F"/>
    <w:rsid w:val="00C679B3"/>
    <w:rsid w:val="00C701D5"/>
    <w:rsid w:val="00C70392"/>
    <w:rsid w:val="00C7073C"/>
    <w:rsid w:val="00C712AC"/>
    <w:rsid w:val="00C71493"/>
    <w:rsid w:val="00C716E9"/>
    <w:rsid w:val="00C72242"/>
    <w:rsid w:val="00C724BC"/>
    <w:rsid w:val="00C724F8"/>
    <w:rsid w:val="00C72D70"/>
    <w:rsid w:val="00C72E32"/>
    <w:rsid w:val="00C73276"/>
    <w:rsid w:val="00C74A88"/>
    <w:rsid w:val="00C74C1D"/>
    <w:rsid w:val="00C75799"/>
    <w:rsid w:val="00C75ADB"/>
    <w:rsid w:val="00C75B31"/>
    <w:rsid w:val="00C75BA2"/>
    <w:rsid w:val="00C76090"/>
    <w:rsid w:val="00C761BA"/>
    <w:rsid w:val="00C76396"/>
    <w:rsid w:val="00C77359"/>
    <w:rsid w:val="00C774BD"/>
    <w:rsid w:val="00C774FC"/>
    <w:rsid w:val="00C77840"/>
    <w:rsid w:val="00C77CC5"/>
    <w:rsid w:val="00C77DDB"/>
    <w:rsid w:val="00C80A85"/>
    <w:rsid w:val="00C80AB6"/>
    <w:rsid w:val="00C810D2"/>
    <w:rsid w:val="00C8127B"/>
    <w:rsid w:val="00C812D2"/>
    <w:rsid w:val="00C81397"/>
    <w:rsid w:val="00C81946"/>
    <w:rsid w:val="00C81F76"/>
    <w:rsid w:val="00C82087"/>
    <w:rsid w:val="00C828B5"/>
    <w:rsid w:val="00C83207"/>
    <w:rsid w:val="00C84022"/>
    <w:rsid w:val="00C84230"/>
    <w:rsid w:val="00C846FC"/>
    <w:rsid w:val="00C84A55"/>
    <w:rsid w:val="00C84E92"/>
    <w:rsid w:val="00C854B4"/>
    <w:rsid w:val="00C85BA6"/>
    <w:rsid w:val="00C861CB"/>
    <w:rsid w:val="00C862F3"/>
    <w:rsid w:val="00C86815"/>
    <w:rsid w:val="00C87D77"/>
    <w:rsid w:val="00C901AA"/>
    <w:rsid w:val="00C9033D"/>
    <w:rsid w:val="00C90367"/>
    <w:rsid w:val="00C9083A"/>
    <w:rsid w:val="00C90BF7"/>
    <w:rsid w:val="00C91852"/>
    <w:rsid w:val="00C92003"/>
    <w:rsid w:val="00C92F05"/>
    <w:rsid w:val="00C934C3"/>
    <w:rsid w:val="00C937C8"/>
    <w:rsid w:val="00C93A3C"/>
    <w:rsid w:val="00C944D7"/>
    <w:rsid w:val="00C94B94"/>
    <w:rsid w:val="00C94E0F"/>
    <w:rsid w:val="00C951D2"/>
    <w:rsid w:val="00C96648"/>
    <w:rsid w:val="00C967B4"/>
    <w:rsid w:val="00C976A5"/>
    <w:rsid w:val="00C977AD"/>
    <w:rsid w:val="00CA13A1"/>
    <w:rsid w:val="00CA19FD"/>
    <w:rsid w:val="00CA1CB5"/>
    <w:rsid w:val="00CA238F"/>
    <w:rsid w:val="00CA2955"/>
    <w:rsid w:val="00CA2E0B"/>
    <w:rsid w:val="00CA30B8"/>
    <w:rsid w:val="00CA3ACE"/>
    <w:rsid w:val="00CA3D59"/>
    <w:rsid w:val="00CA3F1C"/>
    <w:rsid w:val="00CA4433"/>
    <w:rsid w:val="00CA4964"/>
    <w:rsid w:val="00CA497B"/>
    <w:rsid w:val="00CA4B56"/>
    <w:rsid w:val="00CA52A3"/>
    <w:rsid w:val="00CA5730"/>
    <w:rsid w:val="00CA5AA8"/>
    <w:rsid w:val="00CA5D9E"/>
    <w:rsid w:val="00CA6849"/>
    <w:rsid w:val="00CA7101"/>
    <w:rsid w:val="00CA74F7"/>
    <w:rsid w:val="00CA7A5D"/>
    <w:rsid w:val="00CA7D1B"/>
    <w:rsid w:val="00CA7E60"/>
    <w:rsid w:val="00CA7FE7"/>
    <w:rsid w:val="00CB037E"/>
    <w:rsid w:val="00CB0FE9"/>
    <w:rsid w:val="00CB1164"/>
    <w:rsid w:val="00CB11A7"/>
    <w:rsid w:val="00CB1329"/>
    <w:rsid w:val="00CB14E8"/>
    <w:rsid w:val="00CB1517"/>
    <w:rsid w:val="00CB1531"/>
    <w:rsid w:val="00CB1C92"/>
    <w:rsid w:val="00CB1E10"/>
    <w:rsid w:val="00CB2429"/>
    <w:rsid w:val="00CB243C"/>
    <w:rsid w:val="00CB2AE6"/>
    <w:rsid w:val="00CB2C82"/>
    <w:rsid w:val="00CB2D21"/>
    <w:rsid w:val="00CB3120"/>
    <w:rsid w:val="00CB4152"/>
    <w:rsid w:val="00CB41E7"/>
    <w:rsid w:val="00CB44BA"/>
    <w:rsid w:val="00CB45EA"/>
    <w:rsid w:val="00CB58E4"/>
    <w:rsid w:val="00CB5AD1"/>
    <w:rsid w:val="00CB5B74"/>
    <w:rsid w:val="00CB656F"/>
    <w:rsid w:val="00CB6696"/>
    <w:rsid w:val="00CB7345"/>
    <w:rsid w:val="00CB749D"/>
    <w:rsid w:val="00CB74EB"/>
    <w:rsid w:val="00CC003B"/>
    <w:rsid w:val="00CC0285"/>
    <w:rsid w:val="00CC048C"/>
    <w:rsid w:val="00CC0C4F"/>
    <w:rsid w:val="00CC0DCB"/>
    <w:rsid w:val="00CC183E"/>
    <w:rsid w:val="00CC20FD"/>
    <w:rsid w:val="00CC2BCA"/>
    <w:rsid w:val="00CC3188"/>
    <w:rsid w:val="00CC32D6"/>
    <w:rsid w:val="00CC33D5"/>
    <w:rsid w:val="00CC37E0"/>
    <w:rsid w:val="00CC3DAC"/>
    <w:rsid w:val="00CC3EB2"/>
    <w:rsid w:val="00CC40C0"/>
    <w:rsid w:val="00CC4479"/>
    <w:rsid w:val="00CC45E0"/>
    <w:rsid w:val="00CC4931"/>
    <w:rsid w:val="00CC4E0F"/>
    <w:rsid w:val="00CC54D8"/>
    <w:rsid w:val="00CC5B17"/>
    <w:rsid w:val="00CC5DBD"/>
    <w:rsid w:val="00CC5DF2"/>
    <w:rsid w:val="00CC65B4"/>
    <w:rsid w:val="00CC660C"/>
    <w:rsid w:val="00CC6979"/>
    <w:rsid w:val="00CC6D35"/>
    <w:rsid w:val="00CC6E44"/>
    <w:rsid w:val="00CC702F"/>
    <w:rsid w:val="00CC7407"/>
    <w:rsid w:val="00CC788F"/>
    <w:rsid w:val="00CC7E73"/>
    <w:rsid w:val="00CC7FB3"/>
    <w:rsid w:val="00CD000A"/>
    <w:rsid w:val="00CD024B"/>
    <w:rsid w:val="00CD03B8"/>
    <w:rsid w:val="00CD0A40"/>
    <w:rsid w:val="00CD0B0D"/>
    <w:rsid w:val="00CD1228"/>
    <w:rsid w:val="00CD1643"/>
    <w:rsid w:val="00CD1A62"/>
    <w:rsid w:val="00CD1D4A"/>
    <w:rsid w:val="00CD212C"/>
    <w:rsid w:val="00CD25CF"/>
    <w:rsid w:val="00CD2655"/>
    <w:rsid w:val="00CD2865"/>
    <w:rsid w:val="00CD2B04"/>
    <w:rsid w:val="00CD2FA5"/>
    <w:rsid w:val="00CD38A8"/>
    <w:rsid w:val="00CD3E17"/>
    <w:rsid w:val="00CD46AC"/>
    <w:rsid w:val="00CD4ADE"/>
    <w:rsid w:val="00CD4F73"/>
    <w:rsid w:val="00CD5158"/>
    <w:rsid w:val="00CD59B0"/>
    <w:rsid w:val="00CD62AA"/>
    <w:rsid w:val="00CD648D"/>
    <w:rsid w:val="00CD7807"/>
    <w:rsid w:val="00CD7CA5"/>
    <w:rsid w:val="00CD7F59"/>
    <w:rsid w:val="00CE05F9"/>
    <w:rsid w:val="00CE06ED"/>
    <w:rsid w:val="00CE083B"/>
    <w:rsid w:val="00CE088C"/>
    <w:rsid w:val="00CE0BBB"/>
    <w:rsid w:val="00CE0CA0"/>
    <w:rsid w:val="00CE1060"/>
    <w:rsid w:val="00CE146D"/>
    <w:rsid w:val="00CE190B"/>
    <w:rsid w:val="00CE20F4"/>
    <w:rsid w:val="00CE21D3"/>
    <w:rsid w:val="00CE2403"/>
    <w:rsid w:val="00CE3040"/>
    <w:rsid w:val="00CE3639"/>
    <w:rsid w:val="00CE3BAD"/>
    <w:rsid w:val="00CE42D6"/>
    <w:rsid w:val="00CE4BC3"/>
    <w:rsid w:val="00CE5032"/>
    <w:rsid w:val="00CE52D1"/>
    <w:rsid w:val="00CE5AC0"/>
    <w:rsid w:val="00CE6367"/>
    <w:rsid w:val="00CE713E"/>
    <w:rsid w:val="00CE79CE"/>
    <w:rsid w:val="00CF0106"/>
    <w:rsid w:val="00CF03AA"/>
    <w:rsid w:val="00CF098A"/>
    <w:rsid w:val="00CF0B8E"/>
    <w:rsid w:val="00CF0B95"/>
    <w:rsid w:val="00CF1345"/>
    <w:rsid w:val="00CF16B9"/>
    <w:rsid w:val="00CF17C8"/>
    <w:rsid w:val="00CF17FF"/>
    <w:rsid w:val="00CF1ACC"/>
    <w:rsid w:val="00CF1D9F"/>
    <w:rsid w:val="00CF1EAE"/>
    <w:rsid w:val="00CF296F"/>
    <w:rsid w:val="00CF2B18"/>
    <w:rsid w:val="00CF3412"/>
    <w:rsid w:val="00CF38AE"/>
    <w:rsid w:val="00CF3B35"/>
    <w:rsid w:val="00CF3DD4"/>
    <w:rsid w:val="00CF4130"/>
    <w:rsid w:val="00CF4623"/>
    <w:rsid w:val="00CF46DC"/>
    <w:rsid w:val="00CF48E6"/>
    <w:rsid w:val="00CF5272"/>
    <w:rsid w:val="00CF5E7F"/>
    <w:rsid w:val="00CF5EF7"/>
    <w:rsid w:val="00CF648A"/>
    <w:rsid w:val="00CF6497"/>
    <w:rsid w:val="00CF68B5"/>
    <w:rsid w:val="00CF6C72"/>
    <w:rsid w:val="00CF7358"/>
    <w:rsid w:val="00CF7DBB"/>
    <w:rsid w:val="00D003EB"/>
    <w:rsid w:val="00D00538"/>
    <w:rsid w:val="00D005AE"/>
    <w:rsid w:val="00D0060D"/>
    <w:rsid w:val="00D00693"/>
    <w:rsid w:val="00D00945"/>
    <w:rsid w:val="00D02033"/>
    <w:rsid w:val="00D02159"/>
    <w:rsid w:val="00D022E3"/>
    <w:rsid w:val="00D02341"/>
    <w:rsid w:val="00D02A05"/>
    <w:rsid w:val="00D03537"/>
    <w:rsid w:val="00D03818"/>
    <w:rsid w:val="00D03FBF"/>
    <w:rsid w:val="00D04897"/>
    <w:rsid w:val="00D04B60"/>
    <w:rsid w:val="00D04CD3"/>
    <w:rsid w:val="00D04F95"/>
    <w:rsid w:val="00D05060"/>
    <w:rsid w:val="00D0507C"/>
    <w:rsid w:val="00D06018"/>
    <w:rsid w:val="00D061F1"/>
    <w:rsid w:val="00D0639D"/>
    <w:rsid w:val="00D064B5"/>
    <w:rsid w:val="00D06599"/>
    <w:rsid w:val="00D06E27"/>
    <w:rsid w:val="00D06FA6"/>
    <w:rsid w:val="00D070A5"/>
    <w:rsid w:val="00D07545"/>
    <w:rsid w:val="00D106E2"/>
    <w:rsid w:val="00D10788"/>
    <w:rsid w:val="00D10A12"/>
    <w:rsid w:val="00D10ABC"/>
    <w:rsid w:val="00D11055"/>
    <w:rsid w:val="00D1106E"/>
    <w:rsid w:val="00D11E54"/>
    <w:rsid w:val="00D126F6"/>
    <w:rsid w:val="00D1324E"/>
    <w:rsid w:val="00D13567"/>
    <w:rsid w:val="00D13683"/>
    <w:rsid w:val="00D14B0E"/>
    <w:rsid w:val="00D15215"/>
    <w:rsid w:val="00D15486"/>
    <w:rsid w:val="00D15913"/>
    <w:rsid w:val="00D15CFB"/>
    <w:rsid w:val="00D160BC"/>
    <w:rsid w:val="00D1688B"/>
    <w:rsid w:val="00D16A0D"/>
    <w:rsid w:val="00D16BE4"/>
    <w:rsid w:val="00D2025A"/>
    <w:rsid w:val="00D20355"/>
    <w:rsid w:val="00D203E3"/>
    <w:rsid w:val="00D203F2"/>
    <w:rsid w:val="00D207B8"/>
    <w:rsid w:val="00D21548"/>
    <w:rsid w:val="00D2191F"/>
    <w:rsid w:val="00D22826"/>
    <w:rsid w:val="00D228EC"/>
    <w:rsid w:val="00D22BAF"/>
    <w:rsid w:val="00D22C48"/>
    <w:rsid w:val="00D232C7"/>
    <w:rsid w:val="00D23323"/>
    <w:rsid w:val="00D234F4"/>
    <w:rsid w:val="00D23609"/>
    <w:rsid w:val="00D239AF"/>
    <w:rsid w:val="00D23C60"/>
    <w:rsid w:val="00D24073"/>
    <w:rsid w:val="00D243D4"/>
    <w:rsid w:val="00D243DC"/>
    <w:rsid w:val="00D24598"/>
    <w:rsid w:val="00D24EC0"/>
    <w:rsid w:val="00D25D5B"/>
    <w:rsid w:val="00D25F5F"/>
    <w:rsid w:val="00D26793"/>
    <w:rsid w:val="00D267D0"/>
    <w:rsid w:val="00D269CB"/>
    <w:rsid w:val="00D26A47"/>
    <w:rsid w:val="00D26A8F"/>
    <w:rsid w:val="00D30705"/>
    <w:rsid w:val="00D307F8"/>
    <w:rsid w:val="00D30A04"/>
    <w:rsid w:val="00D30C14"/>
    <w:rsid w:val="00D30D05"/>
    <w:rsid w:val="00D30D27"/>
    <w:rsid w:val="00D31357"/>
    <w:rsid w:val="00D3186E"/>
    <w:rsid w:val="00D3196A"/>
    <w:rsid w:val="00D3225D"/>
    <w:rsid w:val="00D32BA8"/>
    <w:rsid w:val="00D33214"/>
    <w:rsid w:val="00D33267"/>
    <w:rsid w:val="00D33817"/>
    <w:rsid w:val="00D33D7D"/>
    <w:rsid w:val="00D345F1"/>
    <w:rsid w:val="00D34C58"/>
    <w:rsid w:val="00D34DE5"/>
    <w:rsid w:val="00D34E71"/>
    <w:rsid w:val="00D35295"/>
    <w:rsid w:val="00D35486"/>
    <w:rsid w:val="00D35697"/>
    <w:rsid w:val="00D358BD"/>
    <w:rsid w:val="00D35CEE"/>
    <w:rsid w:val="00D361B2"/>
    <w:rsid w:val="00D36BD0"/>
    <w:rsid w:val="00D378DF"/>
    <w:rsid w:val="00D37A3C"/>
    <w:rsid w:val="00D37B5F"/>
    <w:rsid w:val="00D37C00"/>
    <w:rsid w:val="00D400C1"/>
    <w:rsid w:val="00D40FD1"/>
    <w:rsid w:val="00D4102D"/>
    <w:rsid w:val="00D41689"/>
    <w:rsid w:val="00D422AE"/>
    <w:rsid w:val="00D42407"/>
    <w:rsid w:val="00D42B98"/>
    <w:rsid w:val="00D42C20"/>
    <w:rsid w:val="00D432FD"/>
    <w:rsid w:val="00D43847"/>
    <w:rsid w:val="00D43892"/>
    <w:rsid w:val="00D43A5F"/>
    <w:rsid w:val="00D43C6E"/>
    <w:rsid w:val="00D43C8F"/>
    <w:rsid w:val="00D43F49"/>
    <w:rsid w:val="00D44F66"/>
    <w:rsid w:val="00D452EF"/>
    <w:rsid w:val="00D45393"/>
    <w:rsid w:val="00D4543C"/>
    <w:rsid w:val="00D455FD"/>
    <w:rsid w:val="00D46D2F"/>
    <w:rsid w:val="00D47201"/>
    <w:rsid w:val="00D47240"/>
    <w:rsid w:val="00D474AA"/>
    <w:rsid w:val="00D47818"/>
    <w:rsid w:val="00D50041"/>
    <w:rsid w:val="00D510A1"/>
    <w:rsid w:val="00D511BF"/>
    <w:rsid w:val="00D5152B"/>
    <w:rsid w:val="00D51683"/>
    <w:rsid w:val="00D5196A"/>
    <w:rsid w:val="00D51B35"/>
    <w:rsid w:val="00D5211E"/>
    <w:rsid w:val="00D522D5"/>
    <w:rsid w:val="00D52684"/>
    <w:rsid w:val="00D52BF3"/>
    <w:rsid w:val="00D532BB"/>
    <w:rsid w:val="00D535C4"/>
    <w:rsid w:val="00D53D26"/>
    <w:rsid w:val="00D53E88"/>
    <w:rsid w:val="00D53EA9"/>
    <w:rsid w:val="00D54820"/>
    <w:rsid w:val="00D54912"/>
    <w:rsid w:val="00D54CE4"/>
    <w:rsid w:val="00D54DD7"/>
    <w:rsid w:val="00D54E12"/>
    <w:rsid w:val="00D54F6C"/>
    <w:rsid w:val="00D54F73"/>
    <w:rsid w:val="00D554C3"/>
    <w:rsid w:val="00D555EF"/>
    <w:rsid w:val="00D55859"/>
    <w:rsid w:val="00D5596C"/>
    <w:rsid w:val="00D55B00"/>
    <w:rsid w:val="00D55DAE"/>
    <w:rsid w:val="00D562B1"/>
    <w:rsid w:val="00D56430"/>
    <w:rsid w:val="00D5645D"/>
    <w:rsid w:val="00D56771"/>
    <w:rsid w:val="00D56C27"/>
    <w:rsid w:val="00D56F94"/>
    <w:rsid w:val="00D5716F"/>
    <w:rsid w:val="00D5778F"/>
    <w:rsid w:val="00D604AC"/>
    <w:rsid w:val="00D604D3"/>
    <w:rsid w:val="00D60643"/>
    <w:rsid w:val="00D60AE4"/>
    <w:rsid w:val="00D60DD0"/>
    <w:rsid w:val="00D61132"/>
    <w:rsid w:val="00D61222"/>
    <w:rsid w:val="00D61C74"/>
    <w:rsid w:val="00D62513"/>
    <w:rsid w:val="00D62CFB"/>
    <w:rsid w:val="00D62DDF"/>
    <w:rsid w:val="00D63380"/>
    <w:rsid w:val="00D633C9"/>
    <w:rsid w:val="00D63674"/>
    <w:rsid w:val="00D645E1"/>
    <w:rsid w:val="00D6463B"/>
    <w:rsid w:val="00D64829"/>
    <w:rsid w:val="00D64B36"/>
    <w:rsid w:val="00D65E08"/>
    <w:rsid w:val="00D6619C"/>
    <w:rsid w:val="00D664D3"/>
    <w:rsid w:val="00D66638"/>
    <w:rsid w:val="00D67211"/>
    <w:rsid w:val="00D67394"/>
    <w:rsid w:val="00D6743D"/>
    <w:rsid w:val="00D70B09"/>
    <w:rsid w:val="00D720CB"/>
    <w:rsid w:val="00D72717"/>
    <w:rsid w:val="00D72AD0"/>
    <w:rsid w:val="00D72D37"/>
    <w:rsid w:val="00D72E91"/>
    <w:rsid w:val="00D73137"/>
    <w:rsid w:val="00D735D7"/>
    <w:rsid w:val="00D73651"/>
    <w:rsid w:val="00D736AC"/>
    <w:rsid w:val="00D7393B"/>
    <w:rsid w:val="00D73993"/>
    <w:rsid w:val="00D73BF3"/>
    <w:rsid w:val="00D7466D"/>
    <w:rsid w:val="00D747BD"/>
    <w:rsid w:val="00D74AED"/>
    <w:rsid w:val="00D74BA5"/>
    <w:rsid w:val="00D75388"/>
    <w:rsid w:val="00D75D7C"/>
    <w:rsid w:val="00D76590"/>
    <w:rsid w:val="00D774E9"/>
    <w:rsid w:val="00D77539"/>
    <w:rsid w:val="00D77776"/>
    <w:rsid w:val="00D7797B"/>
    <w:rsid w:val="00D77A93"/>
    <w:rsid w:val="00D80D4E"/>
    <w:rsid w:val="00D80D74"/>
    <w:rsid w:val="00D80F1B"/>
    <w:rsid w:val="00D81493"/>
    <w:rsid w:val="00D81716"/>
    <w:rsid w:val="00D81B7A"/>
    <w:rsid w:val="00D81D4E"/>
    <w:rsid w:val="00D81EC9"/>
    <w:rsid w:val="00D81F96"/>
    <w:rsid w:val="00D8207D"/>
    <w:rsid w:val="00D82655"/>
    <w:rsid w:val="00D82F77"/>
    <w:rsid w:val="00D82FC8"/>
    <w:rsid w:val="00D83475"/>
    <w:rsid w:val="00D839A2"/>
    <w:rsid w:val="00D83FAA"/>
    <w:rsid w:val="00D83FCF"/>
    <w:rsid w:val="00D8412C"/>
    <w:rsid w:val="00D84258"/>
    <w:rsid w:val="00D842D8"/>
    <w:rsid w:val="00D84310"/>
    <w:rsid w:val="00D8450F"/>
    <w:rsid w:val="00D846B6"/>
    <w:rsid w:val="00D8483A"/>
    <w:rsid w:val="00D84BF9"/>
    <w:rsid w:val="00D84E86"/>
    <w:rsid w:val="00D851D9"/>
    <w:rsid w:val="00D85296"/>
    <w:rsid w:val="00D85A66"/>
    <w:rsid w:val="00D867A1"/>
    <w:rsid w:val="00D86959"/>
    <w:rsid w:val="00D86AB3"/>
    <w:rsid w:val="00D86E4B"/>
    <w:rsid w:val="00D87A9F"/>
    <w:rsid w:val="00D87F9E"/>
    <w:rsid w:val="00D90535"/>
    <w:rsid w:val="00D9129C"/>
    <w:rsid w:val="00D91659"/>
    <w:rsid w:val="00D91E35"/>
    <w:rsid w:val="00D920FD"/>
    <w:rsid w:val="00D92362"/>
    <w:rsid w:val="00D9280F"/>
    <w:rsid w:val="00D92CE5"/>
    <w:rsid w:val="00D938DF"/>
    <w:rsid w:val="00D93FEA"/>
    <w:rsid w:val="00D940B6"/>
    <w:rsid w:val="00D9439A"/>
    <w:rsid w:val="00D94859"/>
    <w:rsid w:val="00D95554"/>
    <w:rsid w:val="00D957D1"/>
    <w:rsid w:val="00D95889"/>
    <w:rsid w:val="00D95D39"/>
    <w:rsid w:val="00D95FE9"/>
    <w:rsid w:val="00D960BC"/>
    <w:rsid w:val="00D960E6"/>
    <w:rsid w:val="00D964FF"/>
    <w:rsid w:val="00D96B28"/>
    <w:rsid w:val="00D96C57"/>
    <w:rsid w:val="00D96F77"/>
    <w:rsid w:val="00D97A8C"/>
    <w:rsid w:val="00D97EFA"/>
    <w:rsid w:val="00DA0871"/>
    <w:rsid w:val="00DA0DAE"/>
    <w:rsid w:val="00DA1030"/>
    <w:rsid w:val="00DA12BB"/>
    <w:rsid w:val="00DA1AAC"/>
    <w:rsid w:val="00DA1D08"/>
    <w:rsid w:val="00DA1FD4"/>
    <w:rsid w:val="00DA2061"/>
    <w:rsid w:val="00DA2325"/>
    <w:rsid w:val="00DA2C1C"/>
    <w:rsid w:val="00DA2D7A"/>
    <w:rsid w:val="00DA31C8"/>
    <w:rsid w:val="00DA3804"/>
    <w:rsid w:val="00DA3E92"/>
    <w:rsid w:val="00DA3F42"/>
    <w:rsid w:val="00DA4EF8"/>
    <w:rsid w:val="00DA4F60"/>
    <w:rsid w:val="00DA5C22"/>
    <w:rsid w:val="00DA5D43"/>
    <w:rsid w:val="00DA627E"/>
    <w:rsid w:val="00DA63FD"/>
    <w:rsid w:val="00DA68CC"/>
    <w:rsid w:val="00DA6BC1"/>
    <w:rsid w:val="00DA7377"/>
    <w:rsid w:val="00DA7497"/>
    <w:rsid w:val="00DA767D"/>
    <w:rsid w:val="00DA76A4"/>
    <w:rsid w:val="00DA78B6"/>
    <w:rsid w:val="00DA7F3D"/>
    <w:rsid w:val="00DB0773"/>
    <w:rsid w:val="00DB0843"/>
    <w:rsid w:val="00DB085D"/>
    <w:rsid w:val="00DB0B9D"/>
    <w:rsid w:val="00DB0EC9"/>
    <w:rsid w:val="00DB147A"/>
    <w:rsid w:val="00DB1594"/>
    <w:rsid w:val="00DB16DE"/>
    <w:rsid w:val="00DB1D41"/>
    <w:rsid w:val="00DB1FA8"/>
    <w:rsid w:val="00DB268C"/>
    <w:rsid w:val="00DB292E"/>
    <w:rsid w:val="00DB2A71"/>
    <w:rsid w:val="00DB2EA1"/>
    <w:rsid w:val="00DB30A2"/>
    <w:rsid w:val="00DB313B"/>
    <w:rsid w:val="00DB31BD"/>
    <w:rsid w:val="00DB31EE"/>
    <w:rsid w:val="00DB3272"/>
    <w:rsid w:val="00DB3BCC"/>
    <w:rsid w:val="00DB3FEC"/>
    <w:rsid w:val="00DB4264"/>
    <w:rsid w:val="00DB443F"/>
    <w:rsid w:val="00DB4942"/>
    <w:rsid w:val="00DB49DC"/>
    <w:rsid w:val="00DB4C49"/>
    <w:rsid w:val="00DB4E6F"/>
    <w:rsid w:val="00DB56E9"/>
    <w:rsid w:val="00DB5EE6"/>
    <w:rsid w:val="00DB619A"/>
    <w:rsid w:val="00DB69B4"/>
    <w:rsid w:val="00DB6AE8"/>
    <w:rsid w:val="00DB740F"/>
    <w:rsid w:val="00DB7901"/>
    <w:rsid w:val="00DB7A8F"/>
    <w:rsid w:val="00DB7D09"/>
    <w:rsid w:val="00DC00A1"/>
    <w:rsid w:val="00DC06EA"/>
    <w:rsid w:val="00DC0B72"/>
    <w:rsid w:val="00DC0C76"/>
    <w:rsid w:val="00DC0CA5"/>
    <w:rsid w:val="00DC1409"/>
    <w:rsid w:val="00DC14CB"/>
    <w:rsid w:val="00DC1BDA"/>
    <w:rsid w:val="00DC2294"/>
    <w:rsid w:val="00DC2722"/>
    <w:rsid w:val="00DC31A1"/>
    <w:rsid w:val="00DC4497"/>
    <w:rsid w:val="00DC472A"/>
    <w:rsid w:val="00DC4BD3"/>
    <w:rsid w:val="00DC4D3B"/>
    <w:rsid w:val="00DC5287"/>
    <w:rsid w:val="00DC5459"/>
    <w:rsid w:val="00DC59BE"/>
    <w:rsid w:val="00DC6547"/>
    <w:rsid w:val="00DC6E08"/>
    <w:rsid w:val="00DC6F28"/>
    <w:rsid w:val="00DC72C0"/>
    <w:rsid w:val="00DC740A"/>
    <w:rsid w:val="00DC749B"/>
    <w:rsid w:val="00DC7C23"/>
    <w:rsid w:val="00DC7D9F"/>
    <w:rsid w:val="00DC7EC2"/>
    <w:rsid w:val="00DC7FD5"/>
    <w:rsid w:val="00DC7FFE"/>
    <w:rsid w:val="00DD02FE"/>
    <w:rsid w:val="00DD0991"/>
    <w:rsid w:val="00DD0DC0"/>
    <w:rsid w:val="00DD0E47"/>
    <w:rsid w:val="00DD0F8A"/>
    <w:rsid w:val="00DD1022"/>
    <w:rsid w:val="00DD1444"/>
    <w:rsid w:val="00DD1A9C"/>
    <w:rsid w:val="00DD212C"/>
    <w:rsid w:val="00DD2B70"/>
    <w:rsid w:val="00DD2CBC"/>
    <w:rsid w:val="00DD2E4E"/>
    <w:rsid w:val="00DD2E5A"/>
    <w:rsid w:val="00DD3813"/>
    <w:rsid w:val="00DD39CD"/>
    <w:rsid w:val="00DD3C9F"/>
    <w:rsid w:val="00DD3CF8"/>
    <w:rsid w:val="00DD4342"/>
    <w:rsid w:val="00DD469E"/>
    <w:rsid w:val="00DD484D"/>
    <w:rsid w:val="00DD4BAA"/>
    <w:rsid w:val="00DD518F"/>
    <w:rsid w:val="00DD532E"/>
    <w:rsid w:val="00DD536F"/>
    <w:rsid w:val="00DD546D"/>
    <w:rsid w:val="00DD5D07"/>
    <w:rsid w:val="00DD5E72"/>
    <w:rsid w:val="00DD71EF"/>
    <w:rsid w:val="00DD741D"/>
    <w:rsid w:val="00DD75F3"/>
    <w:rsid w:val="00DD77AF"/>
    <w:rsid w:val="00DD794D"/>
    <w:rsid w:val="00DD7A61"/>
    <w:rsid w:val="00DD7C43"/>
    <w:rsid w:val="00DD7CAC"/>
    <w:rsid w:val="00DD7EC4"/>
    <w:rsid w:val="00DE0BA4"/>
    <w:rsid w:val="00DE0F5D"/>
    <w:rsid w:val="00DE16DE"/>
    <w:rsid w:val="00DE2ACF"/>
    <w:rsid w:val="00DE2B48"/>
    <w:rsid w:val="00DE3754"/>
    <w:rsid w:val="00DE37C1"/>
    <w:rsid w:val="00DE399E"/>
    <w:rsid w:val="00DE3DCA"/>
    <w:rsid w:val="00DE3FE9"/>
    <w:rsid w:val="00DE41C3"/>
    <w:rsid w:val="00DE491D"/>
    <w:rsid w:val="00DE521C"/>
    <w:rsid w:val="00DE5A64"/>
    <w:rsid w:val="00DE5A82"/>
    <w:rsid w:val="00DE5C8F"/>
    <w:rsid w:val="00DE6008"/>
    <w:rsid w:val="00DE6029"/>
    <w:rsid w:val="00DE630D"/>
    <w:rsid w:val="00DE673F"/>
    <w:rsid w:val="00DE699F"/>
    <w:rsid w:val="00DE6FC6"/>
    <w:rsid w:val="00DE7AEB"/>
    <w:rsid w:val="00DE7EAE"/>
    <w:rsid w:val="00DF08B5"/>
    <w:rsid w:val="00DF0A46"/>
    <w:rsid w:val="00DF128F"/>
    <w:rsid w:val="00DF16C7"/>
    <w:rsid w:val="00DF1A7D"/>
    <w:rsid w:val="00DF1BC7"/>
    <w:rsid w:val="00DF2083"/>
    <w:rsid w:val="00DF21D9"/>
    <w:rsid w:val="00DF238C"/>
    <w:rsid w:val="00DF2B34"/>
    <w:rsid w:val="00DF2EC4"/>
    <w:rsid w:val="00DF31DC"/>
    <w:rsid w:val="00DF334F"/>
    <w:rsid w:val="00DF3BD1"/>
    <w:rsid w:val="00DF4284"/>
    <w:rsid w:val="00DF44A6"/>
    <w:rsid w:val="00DF46DF"/>
    <w:rsid w:val="00DF48E8"/>
    <w:rsid w:val="00DF530A"/>
    <w:rsid w:val="00DF5622"/>
    <w:rsid w:val="00DF5B7F"/>
    <w:rsid w:val="00DF65ED"/>
    <w:rsid w:val="00DF6756"/>
    <w:rsid w:val="00DF6AA5"/>
    <w:rsid w:val="00DF7484"/>
    <w:rsid w:val="00DF7BF2"/>
    <w:rsid w:val="00E0003A"/>
    <w:rsid w:val="00E002B1"/>
    <w:rsid w:val="00E00A71"/>
    <w:rsid w:val="00E00DF7"/>
    <w:rsid w:val="00E00F44"/>
    <w:rsid w:val="00E00F78"/>
    <w:rsid w:val="00E01092"/>
    <w:rsid w:val="00E01785"/>
    <w:rsid w:val="00E019E2"/>
    <w:rsid w:val="00E01A71"/>
    <w:rsid w:val="00E01F04"/>
    <w:rsid w:val="00E02175"/>
    <w:rsid w:val="00E02BC5"/>
    <w:rsid w:val="00E03104"/>
    <w:rsid w:val="00E036AF"/>
    <w:rsid w:val="00E03EA2"/>
    <w:rsid w:val="00E040D3"/>
    <w:rsid w:val="00E04458"/>
    <w:rsid w:val="00E04956"/>
    <w:rsid w:val="00E04C6E"/>
    <w:rsid w:val="00E04EE2"/>
    <w:rsid w:val="00E053C4"/>
    <w:rsid w:val="00E05885"/>
    <w:rsid w:val="00E0591D"/>
    <w:rsid w:val="00E05B87"/>
    <w:rsid w:val="00E06304"/>
    <w:rsid w:val="00E066AC"/>
    <w:rsid w:val="00E069AC"/>
    <w:rsid w:val="00E06DEC"/>
    <w:rsid w:val="00E07B68"/>
    <w:rsid w:val="00E07BBB"/>
    <w:rsid w:val="00E10379"/>
    <w:rsid w:val="00E104B9"/>
    <w:rsid w:val="00E10A47"/>
    <w:rsid w:val="00E10F7C"/>
    <w:rsid w:val="00E1110B"/>
    <w:rsid w:val="00E115B9"/>
    <w:rsid w:val="00E11FCD"/>
    <w:rsid w:val="00E12178"/>
    <w:rsid w:val="00E1234A"/>
    <w:rsid w:val="00E12810"/>
    <w:rsid w:val="00E12BAC"/>
    <w:rsid w:val="00E12C0D"/>
    <w:rsid w:val="00E12F89"/>
    <w:rsid w:val="00E13213"/>
    <w:rsid w:val="00E1406D"/>
    <w:rsid w:val="00E14BC6"/>
    <w:rsid w:val="00E1513B"/>
    <w:rsid w:val="00E152AF"/>
    <w:rsid w:val="00E1535C"/>
    <w:rsid w:val="00E15421"/>
    <w:rsid w:val="00E16EEF"/>
    <w:rsid w:val="00E1705D"/>
    <w:rsid w:val="00E170AC"/>
    <w:rsid w:val="00E1743C"/>
    <w:rsid w:val="00E17998"/>
    <w:rsid w:val="00E17AD3"/>
    <w:rsid w:val="00E20129"/>
    <w:rsid w:val="00E202EB"/>
    <w:rsid w:val="00E202EF"/>
    <w:rsid w:val="00E20396"/>
    <w:rsid w:val="00E211AE"/>
    <w:rsid w:val="00E21213"/>
    <w:rsid w:val="00E21300"/>
    <w:rsid w:val="00E21369"/>
    <w:rsid w:val="00E21E70"/>
    <w:rsid w:val="00E22067"/>
    <w:rsid w:val="00E22763"/>
    <w:rsid w:val="00E22789"/>
    <w:rsid w:val="00E22CB0"/>
    <w:rsid w:val="00E23564"/>
    <w:rsid w:val="00E2376F"/>
    <w:rsid w:val="00E237EC"/>
    <w:rsid w:val="00E23946"/>
    <w:rsid w:val="00E244AD"/>
    <w:rsid w:val="00E24901"/>
    <w:rsid w:val="00E24FB7"/>
    <w:rsid w:val="00E25185"/>
    <w:rsid w:val="00E2562B"/>
    <w:rsid w:val="00E25B86"/>
    <w:rsid w:val="00E25D3F"/>
    <w:rsid w:val="00E26013"/>
    <w:rsid w:val="00E26156"/>
    <w:rsid w:val="00E26161"/>
    <w:rsid w:val="00E2632A"/>
    <w:rsid w:val="00E26643"/>
    <w:rsid w:val="00E2691D"/>
    <w:rsid w:val="00E26A43"/>
    <w:rsid w:val="00E26F53"/>
    <w:rsid w:val="00E2706D"/>
    <w:rsid w:val="00E27080"/>
    <w:rsid w:val="00E2718B"/>
    <w:rsid w:val="00E27CD9"/>
    <w:rsid w:val="00E3022F"/>
    <w:rsid w:val="00E3030A"/>
    <w:rsid w:val="00E30349"/>
    <w:rsid w:val="00E3042E"/>
    <w:rsid w:val="00E30821"/>
    <w:rsid w:val="00E3082B"/>
    <w:rsid w:val="00E30EC3"/>
    <w:rsid w:val="00E310D6"/>
    <w:rsid w:val="00E3112D"/>
    <w:rsid w:val="00E32804"/>
    <w:rsid w:val="00E33780"/>
    <w:rsid w:val="00E337B5"/>
    <w:rsid w:val="00E337DE"/>
    <w:rsid w:val="00E3442B"/>
    <w:rsid w:val="00E34511"/>
    <w:rsid w:val="00E35295"/>
    <w:rsid w:val="00E36152"/>
    <w:rsid w:val="00E3639B"/>
    <w:rsid w:val="00E37013"/>
    <w:rsid w:val="00E37B6A"/>
    <w:rsid w:val="00E4110F"/>
    <w:rsid w:val="00E427CE"/>
    <w:rsid w:val="00E42933"/>
    <w:rsid w:val="00E42ABF"/>
    <w:rsid w:val="00E431C1"/>
    <w:rsid w:val="00E43AB7"/>
    <w:rsid w:val="00E43B8E"/>
    <w:rsid w:val="00E446F3"/>
    <w:rsid w:val="00E44AFE"/>
    <w:rsid w:val="00E44DE5"/>
    <w:rsid w:val="00E456B8"/>
    <w:rsid w:val="00E45BCF"/>
    <w:rsid w:val="00E45BFE"/>
    <w:rsid w:val="00E45DAD"/>
    <w:rsid w:val="00E466E1"/>
    <w:rsid w:val="00E466F2"/>
    <w:rsid w:val="00E4737D"/>
    <w:rsid w:val="00E47FEE"/>
    <w:rsid w:val="00E50727"/>
    <w:rsid w:val="00E5094D"/>
    <w:rsid w:val="00E509DE"/>
    <w:rsid w:val="00E50C35"/>
    <w:rsid w:val="00E50F8E"/>
    <w:rsid w:val="00E51207"/>
    <w:rsid w:val="00E51E48"/>
    <w:rsid w:val="00E520D6"/>
    <w:rsid w:val="00E5214F"/>
    <w:rsid w:val="00E52223"/>
    <w:rsid w:val="00E52F9E"/>
    <w:rsid w:val="00E53131"/>
    <w:rsid w:val="00E534ED"/>
    <w:rsid w:val="00E53976"/>
    <w:rsid w:val="00E5446A"/>
    <w:rsid w:val="00E54B45"/>
    <w:rsid w:val="00E54DFD"/>
    <w:rsid w:val="00E54F27"/>
    <w:rsid w:val="00E54F40"/>
    <w:rsid w:val="00E5507B"/>
    <w:rsid w:val="00E557EF"/>
    <w:rsid w:val="00E55A53"/>
    <w:rsid w:val="00E55F74"/>
    <w:rsid w:val="00E5629B"/>
    <w:rsid w:val="00E562D3"/>
    <w:rsid w:val="00E56910"/>
    <w:rsid w:val="00E56958"/>
    <w:rsid w:val="00E569B8"/>
    <w:rsid w:val="00E56AB9"/>
    <w:rsid w:val="00E57877"/>
    <w:rsid w:val="00E578C5"/>
    <w:rsid w:val="00E57BBF"/>
    <w:rsid w:val="00E57F6B"/>
    <w:rsid w:val="00E600C2"/>
    <w:rsid w:val="00E60AEE"/>
    <w:rsid w:val="00E6131C"/>
    <w:rsid w:val="00E6158A"/>
    <w:rsid w:val="00E62BE7"/>
    <w:rsid w:val="00E62EB1"/>
    <w:rsid w:val="00E6344B"/>
    <w:rsid w:val="00E64F35"/>
    <w:rsid w:val="00E65362"/>
    <w:rsid w:val="00E659CF"/>
    <w:rsid w:val="00E65C00"/>
    <w:rsid w:val="00E65C55"/>
    <w:rsid w:val="00E65CDF"/>
    <w:rsid w:val="00E66C2E"/>
    <w:rsid w:val="00E66CD3"/>
    <w:rsid w:val="00E66EDE"/>
    <w:rsid w:val="00E67408"/>
    <w:rsid w:val="00E67A0C"/>
    <w:rsid w:val="00E67F69"/>
    <w:rsid w:val="00E700DD"/>
    <w:rsid w:val="00E70112"/>
    <w:rsid w:val="00E70960"/>
    <w:rsid w:val="00E70A06"/>
    <w:rsid w:val="00E70A0B"/>
    <w:rsid w:val="00E712E4"/>
    <w:rsid w:val="00E71452"/>
    <w:rsid w:val="00E71A2B"/>
    <w:rsid w:val="00E71AA6"/>
    <w:rsid w:val="00E71C32"/>
    <w:rsid w:val="00E71C73"/>
    <w:rsid w:val="00E71CC1"/>
    <w:rsid w:val="00E72160"/>
    <w:rsid w:val="00E72265"/>
    <w:rsid w:val="00E7256F"/>
    <w:rsid w:val="00E726C8"/>
    <w:rsid w:val="00E72DDE"/>
    <w:rsid w:val="00E7304E"/>
    <w:rsid w:val="00E73652"/>
    <w:rsid w:val="00E73C5E"/>
    <w:rsid w:val="00E73D72"/>
    <w:rsid w:val="00E749E2"/>
    <w:rsid w:val="00E7626F"/>
    <w:rsid w:val="00E763FB"/>
    <w:rsid w:val="00E764D0"/>
    <w:rsid w:val="00E7664C"/>
    <w:rsid w:val="00E7668E"/>
    <w:rsid w:val="00E7698E"/>
    <w:rsid w:val="00E76C3D"/>
    <w:rsid w:val="00E76E3A"/>
    <w:rsid w:val="00E76F74"/>
    <w:rsid w:val="00E7769D"/>
    <w:rsid w:val="00E77D1F"/>
    <w:rsid w:val="00E80B93"/>
    <w:rsid w:val="00E80D9A"/>
    <w:rsid w:val="00E80E26"/>
    <w:rsid w:val="00E814C5"/>
    <w:rsid w:val="00E815B6"/>
    <w:rsid w:val="00E815EB"/>
    <w:rsid w:val="00E8192E"/>
    <w:rsid w:val="00E81A41"/>
    <w:rsid w:val="00E81C6A"/>
    <w:rsid w:val="00E8227A"/>
    <w:rsid w:val="00E82858"/>
    <w:rsid w:val="00E834CA"/>
    <w:rsid w:val="00E839D8"/>
    <w:rsid w:val="00E83B8F"/>
    <w:rsid w:val="00E83C98"/>
    <w:rsid w:val="00E8499B"/>
    <w:rsid w:val="00E84A3E"/>
    <w:rsid w:val="00E84D0D"/>
    <w:rsid w:val="00E84DEC"/>
    <w:rsid w:val="00E85211"/>
    <w:rsid w:val="00E85260"/>
    <w:rsid w:val="00E858D8"/>
    <w:rsid w:val="00E8635C"/>
    <w:rsid w:val="00E866B9"/>
    <w:rsid w:val="00E868AD"/>
    <w:rsid w:val="00E86CF6"/>
    <w:rsid w:val="00E874CB"/>
    <w:rsid w:val="00E87DBE"/>
    <w:rsid w:val="00E87DC6"/>
    <w:rsid w:val="00E90318"/>
    <w:rsid w:val="00E908AE"/>
    <w:rsid w:val="00E90A33"/>
    <w:rsid w:val="00E90BB1"/>
    <w:rsid w:val="00E912D8"/>
    <w:rsid w:val="00E9195C"/>
    <w:rsid w:val="00E919FA"/>
    <w:rsid w:val="00E91FF7"/>
    <w:rsid w:val="00E92DA8"/>
    <w:rsid w:val="00E92DDB"/>
    <w:rsid w:val="00E93277"/>
    <w:rsid w:val="00E93473"/>
    <w:rsid w:val="00E946DC"/>
    <w:rsid w:val="00E9487D"/>
    <w:rsid w:val="00E95452"/>
    <w:rsid w:val="00E955A6"/>
    <w:rsid w:val="00E959AF"/>
    <w:rsid w:val="00E9673B"/>
    <w:rsid w:val="00E96794"/>
    <w:rsid w:val="00E96937"/>
    <w:rsid w:val="00E96982"/>
    <w:rsid w:val="00E9731F"/>
    <w:rsid w:val="00E97A38"/>
    <w:rsid w:val="00E97C4D"/>
    <w:rsid w:val="00EA0389"/>
    <w:rsid w:val="00EA0B88"/>
    <w:rsid w:val="00EA0D3C"/>
    <w:rsid w:val="00EA167E"/>
    <w:rsid w:val="00EA19D0"/>
    <w:rsid w:val="00EA1F74"/>
    <w:rsid w:val="00EA217C"/>
    <w:rsid w:val="00EA2354"/>
    <w:rsid w:val="00EA28ED"/>
    <w:rsid w:val="00EA308C"/>
    <w:rsid w:val="00EA353F"/>
    <w:rsid w:val="00EA36E1"/>
    <w:rsid w:val="00EA3867"/>
    <w:rsid w:val="00EA3A4F"/>
    <w:rsid w:val="00EA3B2A"/>
    <w:rsid w:val="00EA3B44"/>
    <w:rsid w:val="00EA3B47"/>
    <w:rsid w:val="00EA4852"/>
    <w:rsid w:val="00EA4ED6"/>
    <w:rsid w:val="00EA512A"/>
    <w:rsid w:val="00EA5315"/>
    <w:rsid w:val="00EA5782"/>
    <w:rsid w:val="00EA584C"/>
    <w:rsid w:val="00EA5B8A"/>
    <w:rsid w:val="00EA65BD"/>
    <w:rsid w:val="00EA67D0"/>
    <w:rsid w:val="00EA754A"/>
    <w:rsid w:val="00EA7F53"/>
    <w:rsid w:val="00EB01FD"/>
    <w:rsid w:val="00EB0705"/>
    <w:rsid w:val="00EB0709"/>
    <w:rsid w:val="00EB09F0"/>
    <w:rsid w:val="00EB11C4"/>
    <w:rsid w:val="00EB1536"/>
    <w:rsid w:val="00EB153B"/>
    <w:rsid w:val="00EB1BE6"/>
    <w:rsid w:val="00EB1C40"/>
    <w:rsid w:val="00EB1CFC"/>
    <w:rsid w:val="00EB1D24"/>
    <w:rsid w:val="00EB246D"/>
    <w:rsid w:val="00EB24A6"/>
    <w:rsid w:val="00EB25CF"/>
    <w:rsid w:val="00EB25E4"/>
    <w:rsid w:val="00EB2D41"/>
    <w:rsid w:val="00EB33B3"/>
    <w:rsid w:val="00EB33B6"/>
    <w:rsid w:val="00EB3933"/>
    <w:rsid w:val="00EB411A"/>
    <w:rsid w:val="00EB4384"/>
    <w:rsid w:val="00EB45BE"/>
    <w:rsid w:val="00EB4D6A"/>
    <w:rsid w:val="00EB4DCB"/>
    <w:rsid w:val="00EB50ED"/>
    <w:rsid w:val="00EB5350"/>
    <w:rsid w:val="00EB64DF"/>
    <w:rsid w:val="00EB6C6E"/>
    <w:rsid w:val="00EB75C4"/>
    <w:rsid w:val="00EB761E"/>
    <w:rsid w:val="00EB7795"/>
    <w:rsid w:val="00EB782D"/>
    <w:rsid w:val="00EB7947"/>
    <w:rsid w:val="00EB79B2"/>
    <w:rsid w:val="00EB7A08"/>
    <w:rsid w:val="00EB7BA5"/>
    <w:rsid w:val="00EB7C3F"/>
    <w:rsid w:val="00EB7F76"/>
    <w:rsid w:val="00EC009A"/>
    <w:rsid w:val="00EC0115"/>
    <w:rsid w:val="00EC0477"/>
    <w:rsid w:val="00EC1559"/>
    <w:rsid w:val="00EC1E3A"/>
    <w:rsid w:val="00EC2B6F"/>
    <w:rsid w:val="00EC2CBE"/>
    <w:rsid w:val="00EC3108"/>
    <w:rsid w:val="00EC39CF"/>
    <w:rsid w:val="00EC43E6"/>
    <w:rsid w:val="00EC4665"/>
    <w:rsid w:val="00EC496E"/>
    <w:rsid w:val="00EC4D34"/>
    <w:rsid w:val="00EC5397"/>
    <w:rsid w:val="00EC5975"/>
    <w:rsid w:val="00EC5B25"/>
    <w:rsid w:val="00EC5D4A"/>
    <w:rsid w:val="00EC5F8C"/>
    <w:rsid w:val="00EC60A3"/>
    <w:rsid w:val="00EC6315"/>
    <w:rsid w:val="00EC6690"/>
    <w:rsid w:val="00EC678B"/>
    <w:rsid w:val="00EC67EE"/>
    <w:rsid w:val="00EC68D6"/>
    <w:rsid w:val="00EC713E"/>
    <w:rsid w:val="00EC76C2"/>
    <w:rsid w:val="00EC7DCF"/>
    <w:rsid w:val="00ED0114"/>
    <w:rsid w:val="00ED05D4"/>
    <w:rsid w:val="00ED0CC2"/>
    <w:rsid w:val="00ED0EDC"/>
    <w:rsid w:val="00ED11FC"/>
    <w:rsid w:val="00ED1810"/>
    <w:rsid w:val="00ED19C3"/>
    <w:rsid w:val="00ED2240"/>
    <w:rsid w:val="00ED23C7"/>
    <w:rsid w:val="00ED2DE1"/>
    <w:rsid w:val="00ED3053"/>
    <w:rsid w:val="00ED34AA"/>
    <w:rsid w:val="00ED4036"/>
    <w:rsid w:val="00ED5072"/>
    <w:rsid w:val="00ED50D9"/>
    <w:rsid w:val="00ED52D3"/>
    <w:rsid w:val="00ED55C0"/>
    <w:rsid w:val="00ED56AC"/>
    <w:rsid w:val="00ED5B6C"/>
    <w:rsid w:val="00ED5BCC"/>
    <w:rsid w:val="00ED5FA0"/>
    <w:rsid w:val="00ED6657"/>
    <w:rsid w:val="00ED6BA7"/>
    <w:rsid w:val="00ED6F03"/>
    <w:rsid w:val="00ED7929"/>
    <w:rsid w:val="00ED794E"/>
    <w:rsid w:val="00EE045D"/>
    <w:rsid w:val="00EE0748"/>
    <w:rsid w:val="00EE0D5E"/>
    <w:rsid w:val="00EE0E75"/>
    <w:rsid w:val="00EE15EA"/>
    <w:rsid w:val="00EE1E79"/>
    <w:rsid w:val="00EE1EAA"/>
    <w:rsid w:val="00EE2524"/>
    <w:rsid w:val="00EE2ECC"/>
    <w:rsid w:val="00EE32A6"/>
    <w:rsid w:val="00EE3803"/>
    <w:rsid w:val="00EE3DF9"/>
    <w:rsid w:val="00EE41CD"/>
    <w:rsid w:val="00EE435F"/>
    <w:rsid w:val="00EE48EF"/>
    <w:rsid w:val="00EE4A7E"/>
    <w:rsid w:val="00EE4E48"/>
    <w:rsid w:val="00EE5302"/>
    <w:rsid w:val="00EE57C4"/>
    <w:rsid w:val="00EE6893"/>
    <w:rsid w:val="00EE7860"/>
    <w:rsid w:val="00EE7A40"/>
    <w:rsid w:val="00EF0A40"/>
    <w:rsid w:val="00EF134F"/>
    <w:rsid w:val="00EF2180"/>
    <w:rsid w:val="00EF26EF"/>
    <w:rsid w:val="00EF3319"/>
    <w:rsid w:val="00EF388F"/>
    <w:rsid w:val="00EF3A4E"/>
    <w:rsid w:val="00EF439B"/>
    <w:rsid w:val="00EF446A"/>
    <w:rsid w:val="00EF4D3E"/>
    <w:rsid w:val="00EF57D1"/>
    <w:rsid w:val="00EF599F"/>
    <w:rsid w:val="00EF5E32"/>
    <w:rsid w:val="00EF61A3"/>
    <w:rsid w:val="00EF648E"/>
    <w:rsid w:val="00EF690D"/>
    <w:rsid w:val="00EF7177"/>
    <w:rsid w:val="00EF73D6"/>
    <w:rsid w:val="00EF759B"/>
    <w:rsid w:val="00EF7832"/>
    <w:rsid w:val="00EF7ED3"/>
    <w:rsid w:val="00F00041"/>
    <w:rsid w:val="00F00473"/>
    <w:rsid w:val="00F004C3"/>
    <w:rsid w:val="00F00CD3"/>
    <w:rsid w:val="00F011A7"/>
    <w:rsid w:val="00F017CA"/>
    <w:rsid w:val="00F02649"/>
    <w:rsid w:val="00F0331A"/>
    <w:rsid w:val="00F0349C"/>
    <w:rsid w:val="00F03582"/>
    <w:rsid w:val="00F037CF"/>
    <w:rsid w:val="00F03EB3"/>
    <w:rsid w:val="00F04511"/>
    <w:rsid w:val="00F04CB3"/>
    <w:rsid w:val="00F04E1C"/>
    <w:rsid w:val="00F057F4"/>
    <w:rsid w:val="00F06446"/>
    <w:rsid w:val="00F06CAE"/>
    <w:rsid w:val="00F0724E"/>
    <w:rsid w:val="00F076B9"/>
    <w:rsid w:val="00F07BAB"/>
    <w:rsid w:val="00F1042F"/>
    <w:rsid w:val="00F10558"/>
    <w:rsid w:val="00F10DFE"/>
    <w:rsid w:val="00F10FB1"/>
    <w:rsid w:val="00F11BF9"/>
    <w:rsid w:val="00F11F1D"/>
    <w:rsid w:val="00F11FB5"/>
    <w:rsid w:val="00F1206C"/>
    <w:rsid w:val="00F126AE"/>
    <w:rsid w:val="00F12E95"/>
    <w:rsid w:val="00F12ECC"/>
    <w:rsid w:val="00F1346F"/>
    <w:rsid w:val="00F13C8D"/>
    <w:rsid w:val="00F144EB"/>
    <w:rsid w:val="00F146E4"/>
    <w:rsid w:val="00F14B4A"/>
    <w:rsid w:val="00F15046"/>
    <w:rsid w:val="00F15203"/>
    <w:rsid w:val="00F15874"/>
    <w:rsid w:val="00F159F1"/>
    <w:rsid w:val="00F15B94"/>
    <w:rsid w:val="00F15CAA"/>
    <w:rsid w:val="00F1622B"/>
    <w:rsid w:val="00F165E1"/>
    <w:rsid w:val="00F167FF"/>
    <w:rsid w:val="00F16848"/>
    <w:rsid w:val="00F16AE7"/>
    <w:rsid w:val="00F17203"/>
    <w:rsid w:val="00F173D9"/>
    <w:rsid w:val="00F17619"/>
    <w:rsid w:val="00F17649"/>
    <w:rsid w:val="00F17951"/>
    <w:rsid w:val="00F17A03"/>
    <w:rsid w:val="00F17E31"/>
    <w:rsid w:val="00F2037E"/>
    <w:rsid w:val="00F20756"/>
    <w:rsid w:val="00F2089A"/>
    <w:rsid w:val="00F20A92"/>
    <w:rsid w:val="00F20C92"/>
    <w:rsid w:val="00F20D45"/>
    <w:rsid w:val="00F219D5"/>
    <w:rsid w:val="00F23B9F"/>
    <w:rsid w:val="00F23CD9"/>
    <w:rsid w:val="00F24E9E"/>
    <w:rsid w:val="00F25396"/>
    <w:rsid w:val="00F254A7"/>
    <w:rsid w:val="00F25678"/>
    <w:rsid w:val="00F25DA1"/>
    <w:rsid w:val="00F267B1"/>
    <w:rsid w:val="00F268B7"/>
    <w:rsid w:val="00F26940"/>
    <w:rsid w:val="00F26A77"/>
    <w:rsid w:val="00F272BC"/>
    <w:rsid w:val="00F27334"/>
    <w:rsid w:val="00F27425"/>
    <w:rsid w:val="00F27733"/>
    <w:rsid w:val="00F278C2"/>
    <w:rsid w:val="00F30A97"/>
    <w:rsid w:val="00F30CD2"/>
    <w:rsid w:val="00F30EE8"/>
    <w:rsid w:val="00F3110E"/>
    <w:rsid w:val="00F317BF"/>
    <w:rsid w:val="00F31D62"/>
    <w:rsid w:val="00F31F28"/>
    <w:rsid w:val="00F32105"/>
    <w:rsid w:val="00F32969"/>
    <w:rsid w:val="00F329D3"/>
    <w:rsid w:val="00F32C79"/>
    <w:rsid w:val="00F33198"/>
    <w:rsid w:val="00F33942"/>
    <w:rsid w:val="00F33AC4"/>
    <w:rsid w:val="00F33C67"/>
    <w:rsid w:val="00F33D40"/>
    <w:rsid w:val="00F33E20"/>
    <w:rsid w:val="00F33E6F"/>
    <w:rsid w:val="00F34019"/>
    <w:rsid w:val="00F34451"/>
    <w:rsid w:val="00F34CB2"/>
    <w:rsid w:val="00F34D84"/>
    <w:rsid w:val="00F35540"/>
    <w:rsid w:val="00F3566A"/>
    <w:rsid w:val="00F35814"/>
    <w:rsid w:val="00F35D12"/>
    <w:rsid w:val="00F35E13"/>
    <w:rsid w:val="00F35F1E"/>
    <w:rsid w:val="00F3613F"/>
    <w:rsid w:val="00F36CF9"/>
    <w:rsid w:val="00F374CF"/>
    <w:rsid w:val="00F376EB"/>
    <w:rsid w:val="00F37FB4"/>
    <w:rsid w:val="00F40BCA"/>
    <w:rsid w:val="00F40D54"/>
    <w:rsid w:val="00F4148F"/>
    <w:rsid w:val="00F41510"/>
    <w:rsid w:val="00F41A2A"/>
    <w:rsid w:val="00F41A91"/>
    <w:rsid w:val="00F41D1C"/>
    <w:rsid w:val="00F4213A"/>
    <w:rsid w:val="00F424C1"/>
    <w:rsid w:val="00F42785"/>
    <w:rsid w:val="00F42BEC"/>
    <w:rsid w:val="00F42D36"/>
    <w:rsid w:val="00F42D83"/>
    <w:rsid w:val="00F430AF"/>
    <w:rsid w:val="00F432D2"/>
    <w:rsid w:val="00F43304"/>
    <w:rsid w:val="00F43493"/>
    <w:rsid w:val="00F43842"/>
    <w:rsid w:val="00F43AB7"/>
    <w:rsid w:val="00F43BEE"/>
    <w:rsid w:val="00F43C06"/>
    <w:rsid w:val="00F43F45"/>
    <w:rsid w:val="00F446F5"/>
    <w:rsid w:val="00F4497D"/>
    <w:rsid w:val="00F44CFA"/>
    <w:rsid w:val="00F44E69"/>
    <w:rsid w:val="00F4511A"/>
    <w:rsid w:val="00F455DC"/>
    <w:rsid w:val="00F45713"/>
    <w:rsid w:val="00F4583F"/>
    <w:rsid w:val="00F462EA"/>
    <w:rsid w:val="00F47B7D"/>
    <w:rsid w:val="00F47EE0"/>
    <w:rsid w:val="00F47F8E"/>
    <w:rsid w:val="00F5013C"/>
    <w:rsid w:val="00F50158"/>
    <w:rsid w:val="00F50195"/>
    <w:rsid w:val="00F506E4"/>
    <w:rsid w:val="00F508FB"/>
    <w:rsid w:val="00F50B0B"/>
    <w:rsid w:val="00F50C32"/>
    <w:rsid w:val="00F50C9E"/>
    <w:rsid w:val="00F513CA"/>
    <w:rsid w:val="00F517D5"/>
    <w:rsid w:val="00F51B89"/>
    <w:rsid w:val="00F51C8B"/>
    <w:rsid w:val="00F523B4"/>
    <w:rsid w:val="00F52898"/>
    <w:rsid w:val="00F52B1B"/>
    <w:rsid w:val="00F52C90"/>
    <w:rsid w:val="00F52D05"/>
    <w:rsid w:val="00F52D31"/>
    <w:rsid w:val="00F530F9"/>
    <w:rsid w:val="00F536FF"/>
    <w:rsid w:val="00F53752"/>
    <w:rsid w:val="00F53BFD"/>
    <w:rsid w:val="00F54028"/>
    <w:rsid w:val="00F54498"/>
    <w:rsid w:val="00F54871"/>
    <w:rsid w:val="00F54B8F"/>
    <w:rsid w:val="00F55506"/>
    <w:rsid w:val="00F558B0"/>
    <w:rsid w:val="00F55F1D"/>
    <w:rsid w:val="00F562FB"/>
    <w:rsid w:val="00F5681C"/>
    <w:rsid w:val="00F5686D"/>
    <w:rsid w:val="00F568A5"/>
    <w:rsid w:val="00F5709D"/>
    <w:rsid w:val="00F5742D"/>
    <w:rsid w:val="00F57433"/>
    <w:rsid w:val="00F57681"/>
    <w:rsid w:val="00F576CF"/>
    <w:rsid w:val="00F57818"/>
    <w:rsid w:val="00F5782B"/>
    <w:rsid w:val="00F5784A"/>
    <w:rsid w:val="00F608C1"/>
    <w:rsid w:val="00F60D88"/>
    <w:rsid w:val="00F60FD5"/>
    <w:rsid w:val="00F6105F"/>
    <w:rsid w:val="00F61880"/>
    <w:rsid w:val="00F61F92"/>
    <w:rsid w:val="00F627B7"/>
    <w:rsid w:val="00F62993"/>
    <w:rsid w:val="00F6337D"/>
    <w:rsid w:val="00F63E7E"/>
    <w:rsid w:val="00F63EF9"/>
    <w:rsid w:val="00F63F48"/>
    <w:rsid w:val="00F6468E"/>
    <w:rsid w:val="00F64D8C"/>
    <w:rsid w:val="00F64DD5"/>
    <w:rsid w:val="00F64F33"/>
    <w:rsid w:val="00F6530F"/>
    <w:rsid w:val="00F65E42"/>
    <w:rsid w:val="00F6618C"/>
    <w:rsid w:val="00F662F7"/>
    <w:rsid w:val="00F6648E"/>
    <w:rsid w:val="00F665C1"/>
    <w:rsid w:val="00F669C7"/>
    <w:rsid w:val="00F67167"/>
    <w:rsid w:val="00F67E52"/>
    <w:rsid w:val="00F67EBC"/>
    <w:rsid w:val="00F700C3"/>
    <w:rsid w:val="00F709B7"/>
    <w:rsid w:val="00F709C2"/>
    <w:rsid w:val="00F70B57"/>
    <w:rsid w:val="00F70E9D"/>
    <w:rsid w:val="00F71247"/>
    <w:rsid w:val="00F7154B"/>
    <w:rsid w:val="00F719BA"/>
    <w:rsid w:val="00F71D19"/>
    <w:rsid w:val="00F71EA0"/>
    <w:rsid w:val="00F72215"/>
    <w:rsid w:val="00F7271D"/>
    <w:rsid w:val="00F72795"/>
    <w:rsid w:val="00F72AF9"/>
    <w:rsid w:val="00F72D00"/>
    <w:rsid w:val="00F72F27"/>
    <w:rsid w:val="00F73261"/>
    <w:rsid w:val="00F7330B"/>
    <w:rsid w:val="00F7336A"/>
    <w:rsid w:val="00F73592"/>
    <w:rsid w:val="00F739AE"/>
    <w:rsid w:val="00F73BA2"/>
    <w:rsid w:val="00F73C72"/>
    <w:rsid w:val="00F73D64"/>
    <w:rsid w:val="00F73F4E"/>
    <w:rsid w:val="00F7430F"/>
    <w:rsid w:val="00F74E1C"/>
    <w:rsid w:val="00F75234"/>
    <w:rsid w:val="00F75361"/>
    <w:rsid w:val="00F75556"/>
    <w:rsid w:val="00F75798"/>
    <w:rsid w:val="00F75D6A"/>
    <w:rsid w:val="00F76395"/>
    <w:rsid w:val="00F7696A"/>
    <w:rsid w:val="00F77215"/>
    <w:rsid w:val="00F7731B"/>
    <w:rsid w:val="00F773A9"/>
    <w:rsid w:val="00F7779C"/>
    <w:rsid w:val="00F777A7"/>
    <w:rsid w:val="00F77B40"/>
    <w:rsid w:val="00F77DC8"/>
    <w:rsid w:val="00F806F4"/>
    <w:rsid w:val="00F809A1"/>
    <w:rsid w:val="00F80A0F"/>
    <w:rsid w:val="00F80C5B"/>
    <w:rsid w:val="00F80D48"/>
    <w:rsid w:val="00F812D1"/>
    <w:rsid w:val="00F8172A"/>
    <w:rsid w:val="00F81C5C"/>
    <w:rsid w:val="00F831A6"/>
    <w:rsid w:val="00F83EC1"/>
    <w:rsid w:val="00F843F1"/>
    <w:rsid w:val="00F84868"/>
    <w:rsid w:val="00F84B03"/>
    <w:rsid w:val="00F84EC1"/>
    <w:rsid w:val="00F85489"/>
    <w:rsid w:val="00F85C0A"/>
    <w:rsid w:val="00F85D86"/>
    <w:rsid w:val="00F85EE4"/>
    <w:rsid w:val="00F86341"/>
    <w:rsid w:val="00F8681F"/>
    <w:rsid w:val="00F869BC"/>
    <w:rsid w:val="00F87757"/>
    <w:rsid w:val="00F8777F"/>
    <w:rsid w:val="00F87BE0"/>
    <w:rsid w:val="00F87D2F"/>
    <w:rsid w:val="00F87F17"/>
    <w:rsid w:val="00F9032A"/>
    <w:rsid w:val="00F90716"/>
    <w:rsid w:val="00F90F54"/>
    <w:rsid w:val="00F911B2"/>
    <w:rsid w:val="00F918AA"/>
    <w:rsid w:val="00F92028"/>
    <w:rsid w:val="00F9213C"/>
    <w:rsid w:val="00F9227F"/>
    <w:rsid w:val="00F9254F"/>
    <w:rsid w:val="00F92DA0"/>
    <w:rsid w:val="00F93387"/>
    <w:rsid w:val="00F93B86"/>
    <w:rsid w:val="00F93BF2"/>
    <w:rsid w:val="00F93F55"/>
    <w:rsid w:val="00F9444C"/>
    <w:rsid w:val="00F94879"/>
    <w:rsid w:val="00F94C05"/>
    <w:rsid w:val="00F952FE"/>
    <w:rsid w:val="00F95586"/>
    <w:rsid w:val="00F95646"/>
    <w:rsid w:val="00F95B28"/>
    <w:rsid w:val="00F95C82"/>
    <w:rsid w:val="00F96158"/>
    <w:rsid w:val="00F97A59"/>
    <w:rsid w:val="00F97C44"/>
    <w:rsid w:val="00F97E77"/>
    <w:rsid w:val="00FA07A7"/>
    <w:rsid w:val="00FA07E7"/>
    <w:rsid w:val="00FA0EA4"/>
    <w:rsid w:val="00FA0FFC"/>
    <w:rsid w:val="00FA1085"/>
    <w:rsid w:val="00FA10CA"/>
    <w:rsid w:val="00FA154E"/>
    <w:rsid w:val="00FA16C3"/>
    <w:rsid w:val="00FA17EA"/>
    <w:rsid w:val="00FA1D50"/>
    <w:rsid w:val="00FA2061"/>
    <w:rsid w:val="00FA27CB"/>
    <w:rsid w:val="00FA29A8"/>
    <w:rsid w:val="00FA2C0D"/>
    <w:rsid w:val="00FA2E5B"/>
    <w:rsid w:val="00FA3045"/>
    <w:rsid w:val="00FA30D9"/>
    <w:rsid w:val="00FA3458"/>
    <w:rsid w:val="00FA34B5"/>
    <w:rsid w:val="00FA37E1"/>
    <w:rsid w:val="00FA3ABC"/>
    <w:rsid w:val="00FA3C52"/>
    <w:rsid w:val="00FA4199"/>
    <w:rsid w:val="00FA4890"/>
    <w:rsid w:val="00FA4ADA"/>
    <w:rsid w:val="00FA55BC"/>
    <w:rsid w:val="00FA5664"/>
    <w:rsid w:val="00FA568E"/>
    <w:rsid w:val="00FA5A8D"/>
    <w:rsid w:val="00FA62B7"/>
    <w:rsid w:val="00FA65EB"/>
    <w:rsid w:val="00FA66B6"/>
    <w:rsid w:val="00FA6E70"/>
    <w:rsid w:val="00FA7575"/>
    <w:rsid w:val="00FA7641"/>
    <w:rsid w:val="00FA78CE"/>
    <w:rsid w:val="00FA7F04"/>
    <w:rsid w:val="00FA7F9F"/>
    <w:rsid w:val="00FB0061"/>
    <w:rsid w:val="00FB01F7"/>
    <w:rsid w:val="00FB0568"/>
    <w:rsid w:val="00FB08D2"/>
    <w:rsid w:val="00FB0E21"/>
    <w:rsid w:val="00FB0E4E"/>
    <w:rsid w:val="00FB139B"/>
    <w:rsid w:val="00FB22E4"/>
    <w:rsid w:val="00FB261E"/>
    <w:rsid w:val="00FB261F"/>
    <w:rsid w:val="00FB26DE"/>
    <w:rsid w:val="00FB294F"/>
    <w:rsid w:val="00FB2B24"/>
    <w:rsid w:val="00FB2BC1"/>
    <w:rsid w:val="00FB2C7E"/>
    <w:rsid w:val="00FB2E12"/>
    <w:rsid w:val="00FB35F1"/>
    <w:rsid w:val="00FB3F05"/>
    <w:rsid w:val="00FB423B"/>
    <w:rsid w:val="00FB43C7"/>
    <w:rsid w:val="00FB47D1"/>
    <w:rsid w:val="00FB48D0"/>
    <w:rsid w:val="00FB61F7"/>
    <w:rsid w:val="00FB65F0"/>
    <w:rsid w:val="00FB6751"/>
    <w:rsid w:val="00FB6953"/>
    <w:rsid w:val="00FB6AB2"/>
    <w:rsid w:val="00FB709F"/>
    <w:rsid w:val="00FB70E4"/>
    <w:rsid w:val="00FB736B"/>
    <w:rsid w:val="00FB755C"/>
    <w:rsid w:val="00FC0378"/>
    <w:rsid w:val="00FC0A61"/>
    <w:rsid w:val="00FC0D38"/>
    <w:rsid w:val="00FC10F2"/>
    <w:rsid w:val="00FC1351"/>
    <w:rsid w:val="00FC1826"/>
    <w:rsid w:val="00FC194A"/>
    <w:rsid w:val="00FC1ADC"/>
    <w:rsid w:val="00FC2C46"/>
    <w:rsid w:val="00FC2CC7"/>
    <w:rsid w:val="00FC3258"/>
    <w:rsid w:val="00FC37D0"/>
    <w:rsid w:val="00FC3AD1"/>
    <w:rsid w:val="00FC42AE"/>
    <w:rsid w:val="00FC48DF"/>
    <w:rsid w:val="00FC515A"/>
    <w:rsid w:val="00FC55F4"/>
    <w:rsid w:val="00FC5835"/>
    <w:rsid w:val="00FC585E"/>
    <w:rsid w:val="00FC5A10"/>
    <w:rsid w:val="00FC66B1"/>
    <w:rsid w:val="00FC66C3"/>
    <w:rsid w:val="00FC678F"/>
    <w:rsid w:val="00FC6947"/>
    <w:rsid w:val="00FC6B02"/>
    <w:rsid w:val="00FC6EC5"/>
    <w:rsid w:val="00FC71AA"/>
    <w:rsid w:val="00FC749A"/>
    <w:rsid w:val="00FC77B0"/>
    <w:rsid w:val="00FC7975"/>
    <w:rsid w:val="00FC79CD"/>
    <w:rsid w:val="00FD0806"/>
    <w:rsid w:val="00FD0A61"/>
    <w:rsid w:val="00FD11F3"/>
    <w:rsid w:val="00FD14EE"/>
    <w:rsid w:val="00FD150A"/>
    <w:rsid w:val="00FD172C"/>
    <w:rsid w:val="00FD1B7F"/>
    <w:rsid w:val="00FD27B4"/>
    <w:rsid w:val="00FD39D9"/>
    <w:rsid w:val="00FD4114"/>
    <w:rsid w:val="00FD433B"/>
    <w:rsid w:val="00FD44C3"/>
    <w:rsid w:val="00FD468E"/>
    <w:rsid w:val="00FD4BC8"/>
    <w:rsid w:val="00FD5BDF"/>
    <w:rsid w:val="00FD639B"/>
    <w:rsid w:val="00FD69FC"/>
    <w:rsid w:val="00FD751C"/>
    <w:rsid w:val="00FD76AE"/>
    <w:rsid w:val="00FD7BD1"/>
    <w:rsid w:val="00FD7C88"/>
    <w:rsid w:val="00FD7E07"/>
    <w:rsid w:val="00FE0109"/>
    <w:rsid w:val="00FE0258"/>
    <w:rsid w:val="00FE0D77"/>
    <w:rsid w:val="00FE1791"/>
    <w:rsid w:val="00FE1829"/>
    <w:rsid w:val="00FE1A68"/>
    <w:rsid w:val="00FE3903"/>
    <w:rsid w:val="00FE3A8B"/>
    <w:rsid w:val="00FE3B63"/>
    <w:rsid w:val="00FE3EF2"/>
    <w:rsid w:val="00FE4086"/>
    <w:rsid w:val="00FE40B0"/>
    <w:rsid w:val="00FE4846"/>
    <w:rsid w:val="00FE4E92"/>
    <w:rsid w:val="00FE4FA4"/>
    <w:rsid w:val="00FE4FC7"/>
    <w:rsid w:val="00FE51BE"/>
    <w:rsid w:val="00FE525D"/>
    <w:rsid w:val="00FE57F8"/>
    <w:rsid w:val="00FE5A16"/>
    <w:rsid w:val="00FE5CA8"/>
    <w:rsid w:val="00FE5D8D"/>
    <w:rsid w:val="00FE5EE1"/>
    <w:rsid w:val="00FE6205"/>
    <w:rsid w:val="00FE6A3D"/>
    <w:rsid w:val="00FE6ED2"/>
    <w:rsid w:val="00FE73B7"/>
    <w:rsid w:val="00FE7552"/>
    <w:rsid w:val="00FE7EC5"/>
    <w:rsid w:val="00FF0052"/>
    <w:rsid w:val="00FF0DEE"/>
    <w:rsid w:val="00FF1071"/>
    <w:rsid w:val="00FF135F"/>
    <w:rsid w:val="00FF1630"/>
    <w:rsid w:val="00FF1916"/>
    <w:rsid w:val="00FF1B88"/>
    <w:rsid w:val="00FF2050"/>
    <w:rsid w:val="00FF2371"/>
    <w:rsid w:val="00FF23A1"/>
    <w:rsid w:val="00FF2466"/>
    <w:rsid w:val="00FF26FE"/>
    <w:rsid w:val="00FF2C3E"/>
    <w:rsid w:val="00FF2DE9"/>
    <w:rsid w:val="00FF2E9F"/>
    <w:rsid w:val="00FF3046"/>
    <w:rsid w:val="00FF3254"/>
    <w:rsid w:val="00FF32AB"/>
    <w:rsid w:val="00FF3515"/>
    <w:rsid w:val="00FF3577"/>
    <w:rsid w:val="00FF3CE5"/>
    <w:rsid w:val="00FF3D30"/>
    <w:rsid w:val="00FF3E65"/>
    <w:rsid w:val="00FF49CA"/>
    <w:rsid w:val="00FF546F"/>
    <w:rsid w:val="00FF5528"/>
    <w:rsid w:val="00FF5A71"/>
    <w:rsid w:val="00FF5ADC"/>
    <w:rsid w:val="00FF5DCA"/>
    <w:rsid w:val="00FF61B5"/>
    <w:rsid w:val="00FF61B7"/>
    <w:rsid w:val="00FF6694"/>
    <w:rsid w:val="00FF6D65"/>
    <w:rsid w:val="00FF6DE0"/>
    <w:rsid w:val="00FF733F"/>
    <w:rsid w:val="00FF75BF"/>
    <w:rsid w:val="00FF7611"/>
    <w:rsid w:val="00FF7A2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8FA9F10"/>
  <w15:docId w15:val="{DB4B0308-E2BF-4E1F-840D-F06F4A2D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EE"/>
  </w:style>
  <w:style w:type="paragraph" w:styleId="1">
    <w:name w:val="heading 1"/>
    <w:basedOn w:val="a"/>
    <w:next w:val="a"/>
    <w:link w:val="1Char"/>
    <w:uiPriority w:val="9"/>
    <w:qFormat/>
    <w:rsid w:val="0042240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unhideWhenUsed/>
    <w:qFormat/>
    <w:rsid w:val="0042240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unhideWhenUsed/>
    <w:qFormat/>
    <w:rsid w:val="0042240C"/>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unhideWhenUsed/>
    <w:qFormat/>
    <w:rsid w:val="00116652"/>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unhideWhenUsed/>
    <w:qFormat/>
    <w:rsid w:val="009039AD"/>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7011"/>
    <w:pPr>
      <w:ind w:left="720"/>
      <w:contextualSpacing/>
    </w:pPr>
  </w:style>
  <w:style w:type="paragraph" w:styleId="a4">
    <w:name w:val="footnote text"/>
    <w:basedOn w:val="a"/>
    <w:link w:val="Char"/>
    <w:uiPriority w:val="99"/>
    <w:unhideWhenUsed/>
    <w:qFormat/>
    <w:rsid w:val="001C5EA7"/>
    <w:pPr>
      <w:spacing w:after="0" w:line="240" w:lineRule="auto"/>
      <w:ind w:left="147" w:hanging="147"/>
      <w:jc w:val="both"/>
    </w:pPr>
    <w:rPr>
      <w:rFonts w:ascii="Calibri" w:eastAsia="Calibri" w:hAnsi="Calibri" w:cs="Times New Roman"/>
      <w:sz w:val="16"/>
      <w:szCs w:val="20"/>
    </w:rPr>
  </w:style>
  <w:style w:type="character" w:customStyle="1" w:styleId="Char">
    <w:name w:val="Κείμενο υποσημείωσης Char"/>
    <w:basedOn w:val="a0"/>
    <w:link w:val="a4"/>
    <w:uiPriority w:val="99"/>
    <w:rsid w:val="001C5EA7"/>
    <w:rPr>
      <w:rFonts w:ascii="Calibri" w:eastAsia="Calibri" w:hAnsi="Calibri" w:cs="Times New Roman"/>
      <w:sz w:val="16"/>
      <w:szCs w:val="20"/>
    </w:rPr>
  </w:style>
  <w:style w:type="character" w:styleId="a5">
    <w:name w:val="footnote reference"/>
    <w:uiPriority w:val="99"/>
    <w:unhideWhenUsed/>
    <w:qFormat/>
    <w:rsid w:val="001C5EA7"/>
    <w:rPr>
      <w:vertAlign w:val="superscript"/>
    </w:rPr>
  </w:style>
  <w:style w:type="character" w:styleId="-">
    <w:name w:val="Hyperlink"/>
    <w:basedOn w:val="a0"/>
    <w:uiPriority w:val="99"/>
    <w:unhideWhenUsed/>
    <w:rsid w:val="00164E6B"/>
    <w:rPr>
      <w:color w:val="0563C1" w:themeColor="hyperlink"/>
      <w:u w:val="single"/>
    </w:rPr>
  </w:style>
  <w:style w:type="character" w:customStyle="1" w:styleId="listtitle1">
    <w:name w:val="list_title1"/>
    <w:basedOn w:val="a0"/>
    <w:rsid w:val="0059634A"/>
    <w:rPr>
      <w:rFonts w:ascii="Tahoma" w:hAnsi="Tahoma" w:cs="Tahoma" w:hint="default"/>
      <w:color w:val="000000"/>
      <w:sz w:val="18"/>
      <w:szCs w:val="18"/>
    </w:rPr>
  </w:style>
  <w:style w:type="paragraph" w:styleId="a6">
    <w:name w:val="Balloon Text"/>
    <w:basedOn w:val="a"/>
    <w:link w:val="Char0"/>
    <w:uiPriority w:val="99"/>
    <w:semiHidden/>
    <w:unhideWhenUsed/>
    <w:rsid w:val="0081345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813455"/>
    <w:rPr>
      <w:rFonts w:ascii="Tahoma" w:hAnsi="Tahoma" w:cs="Tahoma"/>
      <w:sz w:val="16"/>
      <w:szCs w:val="16"/>
    </w:rPr>
  </w:style>
  <w:style w:type="paragraph" w:customStyle="1" w:styleId="Default">
    <w:name w:val="Default"/>
    <w:rsid w:val="00EC1E3A"/>
    <w:pPr>
      <w:autoSpaceDE w:val="0"/>
      <w:autoSpaceDN w:val="0"/>
      <w:adjustRightInd w:val="0"/>
      <w:spacing w:after="0" w:line="240" w:lineRule="auto"/>
    </w:pPr>
    <w:rPr>
      <w:rFonts w:ascii="Calibri" w:hAnsi="Calibri" w:cs="Calibri"/>
      <w:color w:val="000000"/>
      <w:sz w:val="24"/>
      <w:szCs w:val="24"/>
    </w:rPr>
  </w:style>
  <w:style w:type="paragraph" w:styleId="a7">
    <w:name w:val="header"/>
    <w:basedOn w:val="a"/>
    <w:link w:val="Char1"/>
    <w:uiPriority w:val="99"/>
    <w:unhideWhenUsed/>
    <w:rsid w:val="00AF7E73"/>
    <w:pPr>
      <w:tabs>
        <w:tab w:val="center" w:pos="4153"/>
        <w:tab w:val="right" w:pos="8306"/>
      </w:tabs>
      <w:spacing w:after="0" w:line="240" w:lineRule="auto"/>
    </w:pPr>
  </w:style>
  <w:style w:type="character" w:customStyle="1" w:styleId="Char1">
    <w:name w:val="Κεφαλίδα Char"/>
    <w:basedOn w:val="a0"/>
    <w:link w:val="a7"/>
    <w:uiPriority w:val="99"/>
    <w:rsid w:val="00AF7E73"/>
  </w:style>
  <w:style w:type="paragraph" w:styleId="a8">
    <w:name w:val="footer"/>
    <w:basedOn w:val="a"/>
    <w:link w:val="Char2"/>
    <w:uiPriority w:val="99"/>
    <w:unhideWhenUsed/>
    <w:rsid w:val="00AF7E73"/>
    <w:pPr>
      <w:tabs>
        <w:tab w:val="center" w:pos="4153"/>
        <w:tab w:val="right" w:pos="8306"/>
      </w:tabs>
      <w:spacing w:after="0" w:line="240" w:lineRule="auto"/>
    </w:pPr>
  </w:style>
  <w:style w:type="character" w:customStyle="1" w:styleId="Char2">
    <w:name w:val="Υποσέλιδο Char"/>
    <w:basedOn w:val="a0"/>
    <w:link w:val="a8"/>
    <w:uiPriority w:val="99"/>
    <w:rsid w:val="00AF7E73"/>
  </w:style>
  <w:style w:type="character" w:styleId="-0">
    <w:name w:val="FollowedHyperlink"/>
    <w:basedOn w:val="a0"/>
    <w:uiPriority w:val="99"/>
    <w:semiHidden/>
    <w:unhideWhenUsed/>
    <w:rsid w:val="005B1961"/>
    <w:rPr>
      <w:color w:val="954F72" w:themeColor="followedHyperlink"/>
      <w:u w:val="single"/>
    </w:rPr>
  </w:style>
  <w:style w:type="character" w:styleId="a9">
    <w:name w:val="annotation reference"/>
    <w:basedOn w:val="a0"/>
    <w:uiPriority w:val="99"/>
    <w:semiHidden/>
    <w:unhideWhenUsed/>
    <w:rsid w:val="00205ADA"/>
    <w:rPr>
      <w:sz w:val="16"/>
      <w:szCs w:val="16"/>
    </w:rPr>
  </w:style>
  <w:style w:type="paragraph" w:styleId="aa">
    <w:name w:val="annotation text"/>
    <w:basedOn w:val="a"/>
    <w:link w:val="Char3"/>
    <w:uiPriority w:val="99"/>
    <w:unhideWhenUsed/>
    <w:rsid w:val="00205ADA"/>
    <w:pPr>
      <w:spacing w:line="240" w:lineRule="auto"/>
    </w:pPr>
    <w:rPr>
      <w:sz w:val="20"/>
      <w:szCs w:val="20"/>
    </w:rPr>
  </w:style>
  <w:style w:type="character" w:customStyle="1" w:styleId="Char3">
    <w:name w:val="Κείμενο σχολίου Char"/>
    <w:basedOn w:val="a0"/>
    <w:link w:val="aa"/>
    <w:uiPriority w:val="99"/>
    <w:rsid w:val="00205ADA"/>
    <w:rPr>
      <w:sz w:val="20"/>
      <w:szCs w:val="20"/>
    </w:rPr>
  </w:style>
  <w:style w:type="paragraph" w:styleId="ab">
    <w:name w:val="annotation subject"/>
    <w:basedOn w:val="aa"/>
    <w:next w:val="aa"/>
    <w:link w:val="Char4"/>
    <w:uiPriority w:val="99"/>
    <w:semiHidden/>
    <w:unhideWhenUsed/>
    <w:rsid w:val="00205ADA"/>
    <w:rPr>
      <w:b/>
      <w:bCs/>
    </w:rPr>
  </w:style>
  <w:style w:type="character" w:customStyle="1" w:styleId="Char4">
    <w:name w:val="Θέμα σχολίου Char"/>
    <w:basedOn w:val="Char3"/>
    <w:link w:val="ab"/>
    <w:uiPriority w:val="99"/>
    <w:semiHidden/>
    <w:rsid w:val="00205ADA"/>
    <w:rPr>
      <w:b/>
      <w:bCs/>
      <w:sz w:val="20"/>
      <w:szCs w:val="20"/>
    </w:rPr>
  </w:style>
  <w:style w:type="table" w:styleId="ac">
    <w:name w:val="Table Grid"/>
    <w:basedOn w:val="a1"/>
    <w:uiPriority w:val="39"/>
    <w:rsid w:val="0018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42240C"/>
    <w:rPr>
      <w:rFonts w:asciiTheme="majorHAnsi" w:eastAsiaTheme="majorEastAsia" w:hAnsiTheme="majorHAnsi" w:cstheme="majorBidi"/>
      <w:b/>
      <w:bCs/>
      <w:color w:val="2F5496" w:themeColor="accent1" w:themeShade="BF"/>
      <w:sz w:val="28"/>
      <w:szCs w:val="28"/>
    </w:rPr>
  </w:style>
  <w:style w:type="character" w:customStyle="1" w:styleId="2Char">
    <w:name w:val="Επικεφαλίδα 2 Char"/>
    <w:basedOn w:val="a0"/>
    <w:link w:val="2"/>
    <w:uiPriority w:val="9"/>
    <w:rsid w:val="0042240C"/>
    <w:rPr>
      <w:rFonts w:asciiTheme="majorHAnsi" w:eastAsiaTheme="majorEastAsia" w:hAnsiTheme="majorHAnsi" w:cstheme="majorBidi"/>
      <w:b/>
      <w:bCs/>
      <w:color w:val="4472C4" w:themeColor="accent1"/>
      <w:sz w:val="26"/>
      <w:szCs w:val="26"/>
    </w:rPr>
  </w:style>
  <w:style w:type="character" w:customStyle="1" w:styleId="3Char">
    <w:name w:val="Επικεφαλίδα 3 Char"/>
    <w:basedOn w:val="a0"/>
    <w:link w:val="3"/>
    <w:uiPriority w:val="9"/>
    <w:rsid w:val="0042240C"/>
    <w:rPr>
      <w:rFonts w:asciiTheme="majorHAnsi" w:eastAsiaTheme="majorEastAsia" w:hAnsiTheme="majorHAnsi" w:cstheme="majorBidi"/>
      <w:b/>
      <w:bCs/>
      <w:color w:val="4472C4" w:themeColor="accent1"/>
    </w:rPr>
  </w:style>
  <w:style w:type="paragraph" w:styleId="ad">
    <w:name w:val="TOC Heading"/>
    <w:basedOn w:val="1"/>
    <w:next w:val="a"/>
    <w:uiPriority w:val="39"/>
    <w:unhideWhenUsed/>
    <w:qFormat/>
    <w:rsid w:val="000B0C52"/>
    <w:pPr>
      <w:spacing w:line="276" w:lineRule="auto"/>
      <w:outlineLvl w:val="9"/>
    </w:pPr>
    <w:rPr>
      <w:lang w:val="en-US" w:eastAsia="ja-JP"/>
    </w:rPr>
  </w:style>
  <w:style w:type="paragraph" w:styleId="10">
    <w:name w:val="toc 1"/>
    <w:basedOn w:val="a"/>
    <w:next w:val="a"/>
    <w:autoRedefine/>
    <w:uiPriority w:val="39"/>
    <w:unhideWhenUsed/>
    <w:rsid w:val="004F60C2"/>
    <w:pPr>
      <w:tabs>
        <w:tab w:val="left" w:pos="440"/>
        <w:tab w:val="right" w:leader="dot" w:pos="8296"/>
      </w:tabs>
      <w:spacing w:after="100" w:line="240" w:lineRule="auto"/>
      <w:jc w:val="both"/>
    </w:pPr>
    <w:rPr>
      <w:rFonts w:cs="Calibri"/>
      <w:b/>
      <w:bCs/>
      <w:color w:val="595959"/>
      <w:lang w:bidi="he-IL"/>
    </w:rPr>
  </w:style>
  <w:style w:type="paragraph" w:styleId="20">
    <w:name w:val="toc 2"/>
    <w:basedOn w:val="a"/>
    <w:next w:val="a"/>
    <w:autoRedefine/>
    <w:uiPriority w:val="39"/>
    <w:unhideWhenUsed/>
    <w:rsid w:val="00575DEB"/>
    <w:pPr>
      <w:tabs>
        <w:tab w:val="right" w:leader="dot" w:pos="8296"/>
      </w:tabs>
      <w:spacing w:after="100"/>
      <w:ind w:left="220"/>
    </w:pPr>
    <w:rPr>
      <w:rFonts w:ascii="Calibri Light" w:eastAsia="Times New Roman" w:hAnsi="Calibri Light" w:cs="Times New Roman"/>
      <w:bCs/>
      <w:noProof/>
      <w:color w:val="595959" w:themeColor="text1" w:themeTint="A6"/>
    </w:rPr>
  </w:style>
  <w:style w:type="paragraph" w:styleId="30">
    <w:name w:val="toc 3"/>
    <w:basedOn w:val="a"/>
    <w:next w:val="a"/>
    <w:autoRedefine/>
    <w:uiPriority w:val="39"/>
    <w:unhideWhenUsed/>
    <w:rsid w:val="008D5C4E"/>
    <w:pPr>
      <w:tabs>
        <w:tab w:val="right" w:leader="dot" w:pos="8296"/>
      </w:tabs>
      <w:spacing w:after="100"/>
      <w:ind w:left="440"/>
    </w:pPr>
    <w:rPr>
      <w:rFonts w:ascii="Calibri Light" w:eastAsia="Times New Roman" w:hAnsi="Calibri Light" w:cs="Times New Roman"/>
      <w:bCs/>
      <w:noProof/>
    </w:rPr>
  </w:style>
  <w:style w:type="paragraph" w:styleId="ae">
    <w:name w:val="caption"/>
    <w:basedOn w:val="a"/>
    <w:next w:val="a"/>
    <w:uiPriority w:val="35"/>
    <w:unhideWhenUsed/>
    <w:qFormat/>
    <w:rsid w:val="00B34E03"/>
    <w:pPr>
      <w:spacing w:after="200" w:line="240" w:lineRule="auto"/>
    </w:pPr>
    <w:rPr>
      <w:i/>
      <w:iCs/>
      <w:color w:val="44546A" w:themeColor="text2"/>
      <w:sz w:val="18"/>
      <w:szCs w:val="18"/>
    </w:rPr>
  </w:style>
  <w:style w:type="paragraph" w:styleId="af">
    <w:name w:val="table of figures"/>
    <w:basedOn w:val="a"/>
    <w:next w:val="a"/>
    <w:uiPriority w:val="99"/>
    <w:unhideWhenUsed/>
    <w:rsid w:val="00BF413D"/>
    <w:pPr>
      <w:spacing w:after="0"/>
    </w:pPr>
  </w:style>
  <w:style w:type="paragraph" w:customStyle="1" w:styleId="DecimalAligned">
    <w:name w:val="Decimal Aligned"/>
    <w:basedOn w:val="a"/>
    <w:uiPriority w:val="40"/>
    <w:qFormat/>
    <w:rsid w:val="002C7222"/>
    <w:pPr>
      <w:tabs>
        <w:tab w:val="decimal" w:pos="360"/>
      </w:tabs>
      <w:spacing w:after="200" w:line="276" w:lineRule="auto"/>
    </w:pPr>
    <w:rPr>
      <w:lang w:eastAsia="el-GR"/>
    </w:rPr>
  </w:style>
  <w:style w:type="character" w:styleId="af0">
    <w:name w:val="Subtle Emphasis"/>
    <w:basedOn w:val="a0"/>
    <w:uiPriority w:val="19"/>
    <w:qFormat/>
    <w:rsid w:val="002C7222"/>
    <w:rPr>
      <w:i/>
      <w:iCs/>
      <w:color w:val="7F7F7F" w:themeColor="text1" w:themeTint="80"/>
    </w:rPr>
  </w:style>
  <w:style w:type="table" w:customStyle="1" w:styleId="LightShading-Accent11">
    <w:name w:val="Light Shading - Accent 11"/>
    <w:basedOn w:val="a1"/>
    <w:uiPriority w:val="60"/>
    <w:rsid w:val="002C7222"/>
    <w:pPr>
      <w:spacing w:after="0" w:line="240" w:lineRule="auto"/>
    </w:pPr>
    <w:rPr>
      <w:rFonts w:eastAsiaTheme="minorEastAsia"/>
      <w:color w:val="2F5496" w:themeColor="accent1" w:themeShade="BF"/>
      <w:lang w:eastAsia="el-G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11">
    <w:name w:val="Αναφορά1"/>
    <w:basedOn w:val="a0"/>
    <w:uiPriority w:val="99"/>
    <w:semiHidden/>
    <w:unhideWhenUsed/>
    <w:rsid w:val="002D1D96"/>
    <w:rPr>
      <w:color w:val="2B579A"/>
      <w:shd w:val="clear" w:color="auto" w:fill="E6E6E6"/>
    </w:rPr>
  </w:style>
  <w:style w:type="character" w:customStyle="1" w:styleId="21">
    <w:name w:val="Αναφορά2"/>
    <w:basedOn w:val="a0"/>
    <w:uiPriority w:val="99"/>
    <w:semiHidden/>
    <w:unhideWhenUsed/>
    <w:rsid w:val="00542B60"/>
    <w:rPr>
      <w:color w:val="2B579A"/>
      <w:shd w:val="clear" w:color="auto" w:fill="E6E6E6"/>
    </w:rPr>
  </w:style>
  <w:style w:type="table" w:styleId="-3">
    <w:name w:val="Colorful List Accent 3"/>
    <w:basedOn w:val="a1"/>
    <w:uiPriority w:val="72"/>
    <w:rsid w:val="00C81F76"/>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2-4">
    <w:name w:val="Medium Shading 2 Accent 4"/>
    <w:basedOn w:val="a1"/>
    <w:uiPriority w:val="64"/>
    <w:rsid w:val="00C81F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Placeholder Text"/>
    <w:basedOn w:val="a0"/>
    <w:uiPriority w:val="99"/>
    <w:semiHidden/>
    <w:rsid w:val="000941B7"/>
    <w:rPr>
      <w:color w:val="808080"/>
    </w:rPr>
  </w:style>
  <w:style w:type="character" w:customStyle="1" w:styleId="12">
    <w:name w:val="Ανεπίλυτη αναφορά1"/>
    <w:basedOn w:val="a0"/>
    <w:uiPriority w:val="99"/>
    <w:semiHidden/>
    <w:unhideWhenUsed/>
    <w:rsid w:val="00566A3C"/>
    <w:rPr>
      <w:color w:val="808080"/>
      <w:shd w:val="clear" w:color="auto" w:fill="E6E6E6"/>
    </w:rPr>
  </w:style>
  <w:style w:type="character" w:customStyle="1" w:styleId="31">
    <w:name w:val="Αναφορά3"/>
    <w:basedOn w:val="a0"/>
    <w:uiPriority w:val="99"/>
    <w:semiHidden/>
    <w:unhideWhenUsed/>
    <w:rsid w:val="00AB4FA9"/>
    <w:rPr>
      <w:color w:val="2B579A"/>
      <w:shd w:val="clear" w:color="auto" w:fill="E6E6E6"/>
    </w:rPr>
  </w:style>
  <w:style w:type="table" w:customStyle="1" w:styleId="TableGrid1">
    <w:name w:val="Table Grid1"/>
    <w:basedOn w:val="a1"/>
    <w:next w:val="ac"/>
    <w:uiPriority w:val="59"/>
    <w:rsid w:val="00195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Αναφορά4"/>
    <w:basedOn w:val="a0"/>
    <w:uiPriority w:val="99"/>
    <w:semiHidden/>
    <w:unhideWhenUsed/>
    <w:rsid w:val="00534F6E"/>
    <w:rPr>
      <w:color w:val="2B579A"/>
      <w:shd w:val="clear" w:color="auto" w:fill="E6E6E6"/>
    </w:rPr>
  </w:style>
  <w:style w:type="paragraph" w:styleId="-HTML">
    <w:name w:val="HTML Preformatted"/>
    <w:basedOn w:val="a"/>
    <w:link w:val="-HTMLChar"/>
    <w:uiPriority w:val="99"/>
    <w:unhideWhenUsed/>
    <w:rsid w:val="000D6D80"/>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0D6D80"/>
    <w:rPr>
      <w:rFonts w:ascii="Consolas" w:hAnsi="Consolas"/>
      <w:sz w:val="20"/>
      <w:szCs w:val="20"/>
    </w:rPr>
  </w:style>
  <w:style w:type="character" w:customStyle="1" w:styleId="22">
    <w:name w:val="Ανεπίλυτη αναφορά2"/>
    <w:basedOn w:val="a0"/>
    <w:uiPriority w:val="99"/>
    <w:semiHidden/>
    <w:unhideWhenUsed/>
    <w:rsid w:val="006765CE"/>
    <w:rPr>
      <w:color w:val="808080"/>
      <w:shd w:val="clear" w:color="auto" w:fill="E6E6E6"/>
    </w:rPr>
  </w:style>
  <w:style w:type="character" w:customStyle="1" w:styleId="4Char">
    <w:name w:val="Επικεφαλίδα 4 Char"/>
    <w:basedOn w:val="a0"/>
    <w:link w:val="4"/>
    <w:uiPriority w:val="9"/>
    <w:rsid w:val="00116652"/>
    <w:rPr>
      <w:rFonts w:asciiTheme="majorHAnsi" w:eastAsiaTheme="majorEastAsia" w:hAnsiTheme="majorHAnsi" w:cstheme="majorBidi"/>
      <w:b/>
      <w:bCs/>
      <w:i/>
      <w:iCs/>
      <w:color w:val="4472C4" w:themeColor="accent1"/>
    </w:rPr>
  </w:style>
  <w:style w:type="paragraph" w:customStyle="1" w:styleId="FooterOdd">
    <w:name w:val="Footer Odd"/>
    <w:basedOn w:val="a"/>
    <w:qFormat/>
    <w:rsid w:val="005E52A5"/>
    <w:pPr>
      <w:pBdr>
        <w:top w:val="single" w:sz="4" w:space="1" w:color="4472C4" w:themeColor="accent1"/>
      </w:pBdr>
      <w:spacing w:after="180" w:line="264" w:lineRule="auto"/>
      <w:jc w:val="right"/>
    </w:pPr>
    <w:rPr>
      <w:rFonts w:cs="Times New Roman"/>
      <w:color w:val="44546A" w:themeColor="text2"/>
      <w:sz w:val="20"/>
      <w:szCs w:val="20"/>
      <w:lang w:val="en-US" w:eastAsia="ja-JP"/>
    </w:rPr>
  </w:style>
  <w:style w:type="paragraph" w:customStyle="1" w:styleId="FooterEven">
    <w:name w:val="Footer Even"/>
    <w:basedOn w:val="a"/>
    <w:qFormat/>
    <w:rsid w:val="005E52A5"/>
    <w:pPr>
      <w:pBdr>
        <w:top w:val="single" w:sz="4" w:space="1" w:color="4472C4" w:themeColor="accent1"/>
      </w:pBdr>
      <w:spacing w:after="180" w:line="264" w:lineRule="auto"/>
    </w:pPr>
    <w:rPr>
      <w:rFonts w:cs="Times New Roman"/>
      <w:color w:val="44546A" w:themeColor="text2"/>
      <w:sz w:val="20"/>
      <w:szCs w:val="20"/>
      <w:lang w:val="en-US" w:eastAsia="ja-JP"/>
    </w:rPr>
  </w:style>
  <w:style w:type="paragraph" w:customStyle="1" w:styleId="233E5CD5853943F4BD7E8C4B124C0E1D">
    <w:name w:val="233E5CD5853943F4BD7E8C4B124C0E1D"/>
    <w:rsid w:val="006C7B0C"/>
    <w:pPr>
      <w:spacing w:after="200" w:line="276" w:lineRule="auto"/>
    </w:pPr>
    <w:rPr>
      <w:rFonts w:eastAsiaTheme="minorEastAsia"/>
      <w:lang w:eastAsia="el-GR"/>
    </w:rPr>
  </w:style>
  <w:style w:type="paragraph" w:styleId="af2">
    <w:name w:val="No Spacing"/>
    <w:uiPriority w:val="1"/>
    <w:qFormat/>
    <w:rsid w:val="00067752"/>
    <w:pPr>
      <w:spacing w:after="0" w:line="240" w:lineRule="auto"/>
    </w:pPr>
  </w:style>
  <w:style w:type="character" w:customStyle="1" w:styleId="50">
    <w:name w:val="Αναφορά5"/>
    <w:basedOn w:val="a0"/>
    <w:uiPriority w:val="99"/>
    <w:semiHidden/>
    <w:unhideWhenUsed/>
    <w:rsid w:val="00003F86"/>
    <w:rPr>
      <w:color w:val="2B579A"/>
      <w:shd w:val="clear" w:color="auto" w:fill="E6E6E6"/>
    </w:rPr>
  </w:style>
  <w:style w:type="paragraph" w:styleId="af3">
    <w:name w:val="Revision"/>
    <w:hidden/>
    <w:uiPriority w:val="99"/>
    <w:semiHidden/>
    <w:rsid w:val="00003F86"/>
    <w:pPr>
      <w:spacing w:after="0" w:line="240" w:lineRule="auto"/>
    </w:pPr>
  </w:style>
  <w:style w:type="character" w:customStyle="1" w:styleId="tlid-translation">
    <w:name w:val="tlid-translation"/>
    <w:basedOn w:val="a0"/>
    <w:rsid w:val="005901E1"/>
  </w:style>
  <w:style w:type="character" w:customStyle="1" w:styleId="5Char">
    <w:name w:val="Επικεφαλίδα 5 Char"/>
    <w:basedOn w:val="a0"/>
    <w:link w:val="5"/>
    <w:uiPriority w:val="9"/>
    <w:rsid w:val="009039AD"/>
    <w:rPr>
      <w:rFonts w:asciiTheme="majorHAnsi" w:eastAsiaTheme="majorEastAsia" w:hAnsiTheme="majorHAnsi" w:cstheme="majorBidi"/>
      <w:color w:val="1F3763" w:themeColor="accent1" w:themeShade="7F"/>
    </w:rPr>
  </w:style>
  <w:style w:type="character" w:customStyle="1" w:styleId="32">
    <w:name w:val="Ανεπίλυτη αναφορά3"/>
    <w:basedOn w:val="a0"/>
    <w:uiPriority w:val="99"/>
    <w:semiHidden/>
    <w:unhideWhenUsed/>
    <w:rsid w:val="009039AD"/>
    <w:rPr>
      <w:color w:val="605E5C"/>
      <w:shd w:val="clear" w:color="auto" w:fill="E1DFDD"/>
    </w:rPr>
  </w:style>
  <w:style w:type="character" w:customStyle="1" w:styleId="UnresolvedMention1">
    <w:name w:val="Unresolved Mention1"/>
    <w:basedOn w:val="a0"/>
    <w:uiPriority w:val="99"/>
    <w:semiHidden/>
    <w:unhideWhenUsed/>
    <w:rsid w:val="006D0908"/>
    <w:rPr>
      <w:color w:val="605E5C"/>
      <w:shd w:val="clear" w:color="auto" w:fill="E1DFDD"/>
    </w:rPr>
  </w:style>
  <w:style w:type="character" w:customStyle="1" w:styleId="310">
    <w:name w:val="Ανεπίλυτη αναφορά31"/>
    <w:basedOn w:val="a0"/>
    <w:uiPriority w:val="99"/>
    <w:semiHidden/>
    <w:unhideWhenUsed/>
    <w:rsid w:val="006D0908"/>
    <w:rPr>
      <w:color w:val="605E5C"/>
      <w:shd w:val="clear" w:color="auto" w:fill="E1DFDD"/>
    </w:rPr>
  </w:style>
  <w:style w:type="character" w:customStyle="1" w:styleId="UnresolvedMention2">
    <w:name w:val="Unresolved Mention2"/>
    <w:basedOn w:val="a0"/>
    <w:uiPriority w:val="99"/>
    <w:semiHidden/>
    <w:unhideWhenUsed/>
    <w:rsid w:val="001578AA"/>
    <w:rPr>
      <w:color w:val="605E5C"/>
      <w:shd w:val="clear" w:color="auto" w:fill="E1DFDD"/>
    </w:rPr>
  </w:style>
  <w:style w:type="character" w:customStyle="1" w:styleId="41">
    <w:name w:val="Ανεπίλυτη αναφορά4"/>
    <w:basedOn w:val="a0"/>
    <w:uiPriority w:val="99"/>
    <w:semiHidden/>
    <w:unhideWhenUsed/>
    <w:rsid w:val="00C25D71"/>
    <w:rPr>
      <w:color w:val="605E5C"/>
      <w:shd w:val="clear" w:color="auto" w:fill="E1DFDD"/>
    </w:rPr>
  </w:style>
  <w:style w:type="character" w:customStyle="1" w:styleId="UnresolvedMention3">
    <w:name w:val="Unresolved Mention3"/>
    <w:basedOn w:val="a0"/>
    <w:uiPriority w:val="99"/>
    <w:semiHidden/>
    <w:unhideWhenUsed/>
    <w:rsid w:val="00C257E0"/>
    <w:rPr>
      <w:color w:val="605E5C"/>
      <w:shd w:val="clear" w:color="auto" w:fill="E1DFDD"/>
    </w:rPr>
  </w:style>
  <w:style w:type="character" w:customStyle="1" w:styleId="Hyperlink1">
    <w:name w:val="Hyperlink1"/>
    <w:basedOn w:val="a0"/>
    <w:uiPriority w:val="99"/>
    <w:unhideWhenUsed/>
    <w:rsid w:val="00115382"/>
    <w:rPr>
      <w:color w:val="0563C1"/>
      <w:u w:val="single"/>
    </w:rPr>
  </w:style>
  <w:style w:type="paragraph" w:customStyle="1" w:styleId="CommentText1">
    <w:name w:val="Comment Text1"/>
    <w:basedOn w:val="a"/>
    <w:next w:val="aa"/>
    <w:link w:val="CommentTextChar"/>
    <w:uiPriority w:val="99"/>
    <w:unhideWhenUsed/>
    <w:rsid w:val="00115382"/>
    <w:pPr>
      <w:spacing w:line="240" w:lineRule="auto"/>
    </w:pPr>
    <w:rPr>
      <w:sz w:val="20"/>
      <w:szCs w:val="20"/>
      <w:lang w:val="en-US" w:bidi="he-IL"/>
    </w:rPr>
  </w:style>
  <w:style w:type="character" w:customStyle="1" w:styleId="CommentTextChar">
    <w:name w:val="Comment Text Char"/>
    <w:basedOn w:val="a0"/>
    <w:link w:val="CommentText1"/>
    <w:uiPriority w:val="99"/>
    <w:rsid w:val="00115382"/>
    <w:rPr>
      <w:sz w:val="20"/>
      <w:szCs w:val="20"/>
      <w:lang w:val="en-US" w:bidi="he-IL"/>
    </w:rPr>
  </w:style>
  <w:style w:type="character" w:customStyle="1" w:styleId="51">
    <w:name w:val="Ανεπίλυτη αναφορά5"/>
    <w:basedOn w:val="a0"/>
    <w:uiPriority w:val="99"/>
    <w:semiHidden/>
    <w:unhideWhenUsed/>
    <w:rsid w:val="00D87F9E"/>
    <w:rPr>
      <w:color w:val="605E5C"/>
      <w:shd w:val="clear" w:color="auto" w:fill="E1DFDD"/>
    </w:rPr>
  </w:style>
  <w:style w:type="character" w:customStyle="1" w:styleId="6">
    <w:name w:val="Ανεπίλυτη αναφορά6"/>
    <w:basedOn w:val="a0"/>
    <w:uiPriority w:val="99"/>
    <w:semiHidden/>
    <w:unhideWhenUsed/>
    <w:rsid w:val="006B18B0"/>
    <w:rPr>
      <w:color w:val="605E5C"/>
      <w:shd w:val="clear" w:color="auto" w:fill="E1DFDD"/>
    </w:rPr>
  </w:style>
  <w:style w:type="character" w:customStyle="1" w:styleId="7">
    <w:name w:val="Ανεπίλυτη αναφορά7"/>
    <w:basedOn w:val="a0"/>
    <w:uiPriority w:val="99"/>
    <w:semiHidden/>
    <w:unhideWhenUsed/>
    <w:rsid w:val="00F51B89"/>
    <w:rPr>
      <w:color w:val="605E5C"/>
      <w:shd w:val="clear" w:color="auto" w:fill="E1DFDD"/>
    </w:rPr>
  </w:style>
  <w:style w:type="character" w:customStyle="1" w:styleId="8">
    <w:name w:val="Ανεπίλυτη αναφορά8"/>
    <w:basedOn w:val="a0"/>
    <w:uiPriority w:val="99"/>
    <w:semiHidden/>
    <w:unhideWhenUsed/>
    <w:rsid w:val="00283CC6"/>
    <w:rPr>
      <w:color w:val="605E5C"/>
      <w:shd w:val="clear" w:color="auto" w:fill="E1DFDD"/>
    </w:rPr>
  </w:style>
  <w:style w:type="character" w:customStyle="1" w:styleId="9">
    <w:name w:val="Ανεπίλυτη αναφορά9"/>
    <w:basedOn w:val="a0"/>
    <w:uiPriority w:val="99"/>
    <w:semiHidden/>
    <w:unhideWhenUsed/>
    <w:rsid w:val="007A50E0"/>
    <w:rPr>
      <w:color w:val="605E5C"/>
      <w:shd w:val="clear" w:color="auto" w:fill="E1DFDD"/>
    </w:rPr>
  </w:style>
  <w:style w:type="character" w:customStyle="1" w:styleId="100">
    <w:name w:val="Ανεπίλυτη αναφορά10"/>
    <w:basedOn w:val="a0"/>
    <w:uiPriority w:val="99"/>
    <w:semiHidden/>
    <w:unhideWhenUsed/>
    <w:rsid w:val="00833D70"/>
    <w:rPr>
      <w:color w:val="605E5C"/>
      <w:shd w:val="clear" w:color="auto" w:fill="E1DFDD"/>
    </w:rPr>
  </w:style>
  <w:style w:type="character" w:customStyle="1" w:styleId="110">
    <w:name w:val="Ανεπίλυτη αναφορά11"/>
    <w:basedOn w:val="a0"/>
    <w:uiPriority w:val="99"/>
    <w:semiHidden/>
    <w:unhideWhenUsed/>
    <w:rsid w:val="00671721"/>
    <w:rPr>
      <w:color w:val="605E5C"/>
      <w:shd w:val="clear" w:color="auto" w:fill="E1DFDD"/>
    </w:rPr>
  </w:style>
  <w:style w:type="character" w:customStyle="1" w:styleId="UnresolvedMention4">
    <w:name w:val="Unresolved Mention4"/>
    <w:basedOn w:val="a0"/>
    <w:uiPriority w:val="99"/>
    <w:semiHidden/>
    <w:unhideWhenUsed/>
    <w:rsid w:val="00981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2580">
      <w:bodyDiv w:val="1"/>
      <w:marLeft w:val="0"/>
      <w:marRight w:val="0"/>
      <w:marTop w:val="0"/>
      <w:marBottom w:val="0"/>
      <w:divBdr>
        <w:top w:val="none" w:sz="0" w:space="0" w:color="auto"/>
        <w:left w:val="none" w:sz="0" w:space="0" w:color="auto"/>
        <w:bottom w:val="none" w:sz="0" w:space="0" w:color="auto"/>
        <w:right w:val="none" w:sz="0" w:space="0" w:color="auto"/>
      </w:divBdr>
    </w:div>
    <w:div w:id="133643072">
      <w:bodyDiv w:val="1"/>
      <w:marLeft w:val="0"/>
      <w:marRight w:val="0"/>
      <w:marTop w:val="0"/>
      <w:marBottom w:val="0"/>
      <w:divBdr>
        <w:top w:val="none" w:sz="0" w:space="0" w:color="auto"/>
        <w:left w:val="none" w:sz="0" w:space="0" w:color="auto"/>
        <w:bottom w:val="none" w:sz="0" w:space="0" w:color="auto"/>
        <w:right w:val="none" w:sz="0" w:space="0" w:color="auto"/>
      </w:divBdr>
    </w:div>
    <w:div w:id="141653347">
      <w:bodyDiv w:val="1"/>
      <w:marLeft w:val="0"/>
      <w:marRight w:val="0"/>
      <w:marTop w:val="0"/>
      <w:marBottom w:val="0"/>
      <w:divBdr>
        <w:top w:val="none" w:sz="0" w:space="0" w:color="auto"/>
        <w:left w:val="none" w:sz="0" w:space="0" w:color="auto"/>
        <w:bottom w:val="none" w:sz="0" w:space="0" w:color="auto"/>
        <w:right w:val="none" w:sz="0" w:space="0" w:color="auto"/>
      </w:divBdr>
    </w:div>
    <w:div w:id="183986342">
      <w:bodyDiv w:val="1"/>
      <w:marLeft w:val="0"/>
      <w:marRight w:val="0"/>
      <w:marTop w:val="0"/>
      <w:marBottom w:val="0"/>
      <w:divBdr>
        <w:top w:val="none" w:sz="0" w:space="0" w:color="auto"/>
        <w:left w:val="none" w:sz="0" w:space="0" w:color="auto"/>
        <w:bottom w:val="none" w:sz="0" w:space="0" w:color="auto"/>
        <w:right w:val="none" w:sz="0" w:space="0" w:color="auto"/>
      </w:divBdr>
    </w:div>
    <w:div w:id="234946966">
      <w:bodyDiv w:val="1"/>
      <w:marLeft w:val="0"/>
      <w:marRight w:val="0"/>
      <w:marTop w:val="0"/>
      <w:marBottom w:val="0"/>
      <w:divBdr>
        <w:top w:val="none" w:sz="0" w:space="0" w:color="auto"/>
        <w:left w:val="none" w:sz="0" w:space="0" w:color="auto"/>
        <w:bottom w:val="none" w:sz="0" w:space="0" w:color="auto"/>
        <w:right w:val="none" w:sz="0" w:space="0" w:color="auto"/>
      </w:divBdr>
    </w:div>
    <w:div w:id="257064783">
      <w:bodyDiv w:val="1"/>
      <w:marLeft w:val="0"/>
      <w:marRight w:val="0"/>
      <w:marTop w:val="0"/>
      <w:marBottom w:val="0"/>
      <w:divBdr>
        <w:top w:val="none" w:sz="0" w:space="0" w:color="auto"/>
        <w:left w:val="none" w:sz="0" w:space="0" w:color="auto"/>
        <w:bottom w:val="none" w:sz="0" w:space="0" w:color="auto"/>
        <w:right w:val="none" w:sz="0" w:space="0" w:color="auto"/>
      </w:divBdr>
    </w:div>
    <w:div w:id="308705116">
      <w:bodyDiv w:val="1"/>
      <w:marLeft w:val="0"/>
      <w:marRight w:val="0"/>
      <w:marTop w:val="0"/>
      <w:marBottom w:val="0"/>
      <w:divBdr>
        <w:top w:val="none" w:sz="0" w:space="0" w:color="auto"/>
        <w:left w:val="none" w:sz="0" w:space="0" w:color="auto"/>
        <w:bottom w:val="none" w:sz="0" w:space="0" w:color="auto"/>
        <w:right w:val="none" w:sz="0" w:space="0" w:color="auto"/>
      </w:divBdr>
    </w:div>
    <w:div w:id="344670154">
      <w:bodyDiv w:val="1"/>
      <w:marLeft w:val="0"/>
      <w:marRight w:val="0"/>
      <w:marTop w:val="0"/>
      <w:marBottom w:val="0"/>
      <w:divBdr>
        <w:top w:val="none" w:sz="0" w:space="0" w:color="auto"/>
        <w:left w:val="none" w:sz="0" w:space="0" w:color="auto"/>
        <w:bottom w:val="none" w:sz="0" w:space="0" w:color="auto"/>
        <w:right w:val="none" w:sz="0" w:space="0" w:color="auto"/>
      </w:divBdr>
    </w:div>
    <w:div w:id="345794476">
      <w:bodyDiv w:val="1"/>
      <w:marLeft w:val="0"/>
      <w:marRight w:val="0"/>
      <w:marTop w:val="0"/>
      <w:marBottom w:val="0"/>
      <w:divBdr>
        <w:top w:val="none" w:sz="0" w:space="0" w:color="auto"/>
        <w:left w:val="none" w:sz="0" w:space="0" w:color="auto"/>
        <w:bottom w:val="none" w:sz="0" w:space="0" w:color="auto"/>
        <w:right w:val="none" w:sz="0" w:space="0" w:color="auto"/>
      </w:divBdr>
    </w:div>
    <w:div w:id="371273439">
      <w:bodyDiv w:val="1"/>
      <w:marLeft w:val="0"/>
      <w:marRight w:val="0"/>
      <w:marTop w:val="0"/>
      <w:marBottom w:val="0"/>
      <w:divBdr>
        <w:top w:val="none" w:sz="0" w:space="0" w:color="auto"/>
        <w:left w:val="none" w:sz="0" w:space="0" w:color="auto"/>
        <w:bottom w:val="none" w:sz="0" w:space="0" w:color="auto"/>
        <w:right w:val="none" w:sz="0" w:space="0" w:color="auto"/>
      </w:divBdr>
    </w:div>
    <w:div w:id="464588780">
      <w:bodyDiv w:val="1"/>
      <w:marLeft w:val="0"/>
      <w:marRight w:val="0"/>
      <w:marTop w:val="0"/>
      <w:marBottom w:val="0"/>
      <w:divBdr>
        <w:top w:val="none" w:sz="0" w:space="0" w:color="auto"/>
        <w:left w:val="none" w:sz="0" w:space="0" w:color="auto"/>
        <w:bottom w:val="none" w:sz="0" w:space="0" w:color="auto"/>
        <w:right w:val="none" w:sz="0" w:space="0" w:color="auto"/>
      </w:divBdr>
    </w:div>
    <w:div w:id="464663181">
      <w:bodyDiv w:val="1"/>
      <w:marLeft w:val="0"/>
      <w:marRight w:val="0"/>
      <w:marTop w:val="0"/>
      <w:marBottom w:val="0"/>
      <w:divBdr>
        <w:top w:val="none" w:sz="0" w:space="0" w:color="auto"/>
        <w:left w:val="none" w:sz="0" w:space="0" w:color="auto"/>
        <w:bottom w:val="none" w:sz="0" w:space="0" w:color="auto"/>
        <w:right w:val="none" w:sz="0" w:space="0" w:color="auto"/>
      </w:divBdr>
    </w:div>
    <w:div w:id="495997045">
      <w:bodyDiv w:val="1"/>
      <w:marLeft w:val="0"/>
      <w:marRight w:val="0"/>
      <w:marTop w:val="0"/>
      <w:marBottom w:val="0"/>
      <w:divBdr>
        <w:top w:val="none" w:sz="0" w:space="0" w:color="auto"/>
        <w:left w:val="none" w:sz="0" w:space="0" w:color="auto"/>
        <w:bottom w:val="none" w:sz="0" w:space="0" w:color="auto"/>
        <w:right w:val="none" w:sz="0" w:space="0" w:color="auto"/>
      </w:divBdr>
    </w:div>
    <w:div w:id="503977431">
      <w:bodyDiv w:val="1"/>
      <w:marLeft w:val="0"/>
      <w:marRight w:val="0"/>
      <w:marTop w:val="0"/>
      <w:marBottom w:val="0"/>
      <w:divBdr>
        <w:top w:val="none" w:sz="0" w:space="0" w:color="auto"/>
        <w:left w:val="none" w:sz="0" w:space="0" w:color="auto"/>
        <w:bottom w:val="none" w:sz="0" w:space="0" w:color="auto"/>
        <w:right w:val="none" w:sz="0" w:space="0" w:color="auto"/>
      </w:divBdr>
    </w:div>
    <w:div w:id="506288545">
      <w:bodyDiv w:val="1"/>
      <w:marLeft w:val="0"/>
      <w:marRight w:val="0"/>
      <w:marTop w:val="0"/>
      <w:marBottom w:val="0"/>
      <w:divBdr>
        <w:top w:val="none" w:sz="0" w:space="0" w:color="auto"/>
        <w:left w:val="none" w:sz="0" w:space="0" w:color="auto"/>
        <w:bottom w:val="none" w:sz="0" w:space="0" w:color="auto"/>
        <w:right w:val="none" w:sz="0" w:space="0" w:color="auto"/>
      </w:divBdr>
    </w:div>
    <w:div w:id="527452787">
      <w:bodyDiv w:val="1"/>
      <w:marLeft w:val="0"/>
      <w:marRight w:val="0"/>
      <w:marTop w:val="0"/>
      <w:marBottom w:val="0"/>
      <w:divBdr>
        <w:top w:val="none" w:sz="0" w:space="0" w:color="auto"/>
        <w:left w:val="none" w:sz="0" w:space="0" w:color="auto"/>
        <w:bottom w:val="none" w:sz="0" w:space="0" w:color="auto"/>
        <w:right w:val="none" w:sz="0" w:space="0" w:color="auto"/>
      </w:divBdr>
    </w:div>
    <w:div w:id="550382531">
      <w:bodyDiv w:val="1"/>
      <w:marLeft w:val="0"/>
      <w:marRight w:val="0"/>
      <w:marTop w:val="0"/>
      <w:marBottom w:val="0"/>
      <w:divBdr>
        <w:top w:val="none" w:sz="0" w:space="0" w:color="auto"/>
        <w:left w:val="none" w:sz="0" w:space="0" w:color="auto"/>
        <w:bottom w:val="none" w:sz="0" w:space="0" w:color="auto"/>
        <w:right w:val="none" w:sz="0" w:space="0" w:color="auto"/>
      </w:divBdr>
    </w:div>
    <w:div w:id="582302474">
      <w:bodyDiv w:val="1"/>
      <w:marLeft w:val="0"/>
      <w:marRight w:val="0"/>
      <w:marTop w:val="0"/>
      <w:marBottom w:val="0"/>
      <w:divBdr>
        <w:top w:val="none" w:sz="0" w:space="0" w:color="auto"/>
        <w:left w:val="none" w:sz="0" w:space="0" w:color="auto"/>
        <w:bottom w:val="none" w:sz="0" w:space="0" w:color="auto"/>
        <w:right w:val="none" w:sz="0" w:space="0" w:color="auto"/>
      </w:divBdr>
      <w:divsChild>
        <w:div w:id="1352492769">
          <w:marLeft w:val="0"/>
          <w:marRight w:val="0"/>
          <w:marTop w:val="0"/>
          <w:marBottom w:val="240"/>
          <w:divBdr>
            <w:top w:val="none" w:sz="0" w:space="0" w:color="auto"/>
            <w:left w:val="none" w:sz="0" w:space="0" w:color="auto"/>
            <w:bottom w:val="single" w:sz="6" w:space="0" w:color="C8C9CA"/>
            <w:right w:val="none" w:sz="0" w:space="0" w:color="auto"/>
          </w:divBdr>
        </w:div>
      </w:divsChild>
    </w:div>
    <w:div w:id="641886963">
      <w:bodyDiv w:val="1"/>
      <w:marLeft w:val="0"/>
      <w:marRight w:val="0"/>
      <w:marTop w:val="0"/>
      <w:marBottom w:val="0"/>
      <w:divBdr>
        <w:top w:val="none" w:sz="0" w:space="0" w:color="auto"/>
        <w:left w:val="none" w:sz="0" w:space="0" w:color="auto"/>
        <w:bottom w:val="none" w:sz="0" w:space="0" w:color="auto"/>
        <w:right w:val="none" w:sz="0" w:space="0" w:color="auto"/>
      </w:divBdr>
    </w:div>
    <w:div w:id="685911179">
      <w:bodyDiv w:val="1"/>
      <w:marLeft w:val="0"/>
      <w:marRight w:val="0"/>
      <w:marTop w:val="0"/>
      <w:marBottom w:val="0"/>
      <w:divBdr>
        <w:top w:val="none" w:sz="0" w:space="0" w:color="auto"/>
        <w:left w:val="none" w:sz="0" w:space="0" w:color="auto"/>
        <w:bottom w:val="none" w:sz="0" w:space="0" w:color="auto"/>
        <w:right w:val="none" w:sz="0" w:space="0" w:color="auto"/>
      </w:divBdr>
    </w:div>
    <w:div w:id="693261936">
      <w:bodyDiv w:val="1"/>
      <w:marLeft w:val="0"/>
      <w:marRight w:val="0"/>
      <w:marTop w:val="0"/>
      <w:marBottom w:val="0"/>
      <w:divBdr>
        <w:top w:val="none" w:sz="0" w:space="0" w:color="auto"/>
        <w:left w:val="none" w:sz="0" w:space="0" w:color="auto"/>
        <w:bottom w:val="none" w:sz="0" w:space="0" w:color="auto"/>
        <w:right w:val="none" w:sz="0" w:space="0" w:color="auto"/>
      </w:divBdr>
    </w:div>
    <w:div w:id="752551553">
      <w:bodyDiv w:val="1"/>
      <w:marLeft w:val="0"/>
      <w:marRight w:val="0"/>
      <w:marTop w:val="0"/>
      <w:marBottom w:val="0"/>
      <w:divBdr>
        <w:top w:val="none" w:sz="0" w:space="0" w:color="auto"/>
        <w:left w:val="none" w:sz="0" w:space="0" w:color="auto"/>
        <w:bottom w:val="none" w:sz="0" w:space="0" w:color="auto"/>
        <w:right w:val="none" w:sz="0" w:space="0" w:color="auto"/>
      </w:divBdr>
    </w:div>
    <w:div w:id="792332131">
      <w:bodyDiv w:val="1"/>
      <w:marLeft w:val="0"/>
      <w:marRight w:val="0"/>
      <w:marTop w:val="0"/>
      <w:marBottom w:val="0"/>
      <w:divBdr>
        <w:top w:val="none" w:sz="0" w:space="0" w:color="auto"/>
        <w:left w:val="none" w:sz="0" w:space="0" w:color="auto"/>
        <w:bottom w:val="none" w:sz="0" w:space="0" w:color="auto"/>
        <w:right w:val="none" w:sz="0" w:space="0" w:color="auto"/>
      </w:divBdr>
    </w:div>
    <w:div w:id="841236578">
      <w:bodyDiv w:val="1"/>
      <w:marLeft w:val="0"/>
      <w:marRight w:val="0"/>
      <w:marTop w:val="0"/>
      <w:marBottom w:val="0"/>
      <w:divBdr>
        <w:top w:val="none" w:sz="0" w:space="0" w:color="auto"/>
        <w:left w:val="none" w:sz="0" w:space="0" w:color="auto"/>
        <w:bottom w:val="none" w:sz="0" w:space="0" w:color="auto"/>
        <w:right w:val="none" w:sz="0" w:space="0" w:color="auto"/>
      </w:divBdr>
    </w:div>
    <w:div w:id="854853033">
      <w:bodyDiv w:val="1"/>
      <w:marLeft w:val="0"/>
      <w:marRight w:val="0"/>
      <w:marTop w:val="0"/>
      <w:marBottom w:val="0"/>
      <w:divBdr>
        <w:top w:val="none" w:sz="0" w:space="0" w:color="auto"/>
        <w:left w:val="none" w:sz="0" w:space="0" w:color="auto"/>
        <w:bottom w:val="none" w:sz="0" w:space="0" w:color="auto"/>
        <w:right w:val="none" w:sz="0" w:space="0" w:color="auto"/>
      </w:divBdr>
    </w:div>
    <w:div w:id="905997044">
      <w:bodyDiv w:val="1"/>
      <w:marLeft w:val="0"/>
      <w:marRight w:val="0"/>
      <w:marTop w:val="0"/>
      <w:marBottom w:val="0"/>
      <w:divBdr>
        <w:top w:val="none" w:sz="0" w:space="0" w:color="auto"/>
        <w:left w:val="none" w:sz="0" w:space="0" w:color="auto"/>
        <w:bottom w:val="none" w:sz="0" w:space="0" w:color="auto"/>
        <w:right w:val="none" w:sz="0" w:space="0" w:color="auto"/>
      </w:divBdr>
    </w:div>
    <w:div w:id="927036491">
      <w:bodyDiv w:val="1"/>
      <w:marLeft w:val="0"/>
      <w:marRight w:val="0"/>
      <w:marTop w:val="0"/>
      <w:marBottom w:val="0"/>
      <w:divBdr>
        <w:top w:val="none" w:sz="0" w:space="0" w:color="auto"/>
        <w:left w:val="none" w:sz="0" w:space="0" w:color="auto"/>
        <w:bottom w:val="none" w:sz="0" w:space="0" w:color="auto"/>
        <w:right w:val="none" w:sz="0" w:space="0" w:color="auto"/>
      </w:divBdr>
    </w:div>
    <w:div w:id="934358987">
      <w:bodyDiv w:val="1"/>
      <w:marLeft w:val="0"/>
      <w:marRight w:val="0"/>
      <w:marTop w:val="0"/>
      <w:marBottom w:val="0"/>
      <w:divBdr>
        <w:top w:val="none" w:sz="0" w:space="0" w:color="auto"/>
        <w:left w:val="none" w:sz="0" w:space="0" w:color="auto"/>
        <w:bottom w:val="none" w:sz="0" w:space="0" w:color="auto"/>
        <w:right w:val="none" w:sz="0" w:space="0" w:color="auto"/>
      </w:divBdr>
    </w:div>
    <w:div w:id="1038747957">
      <w:bodyDiv w:val="1"/>
      <w:marLeft w:val="0"/>
      <w:marRight w:val="0"/>
      <w:marTop w:val="0"/>
      <w:marBottom w:val="0"/>
      <w:divBdr>
        <w:top w:val="none" w:sz="0" w:space="0" w:color="auto"/>
        <w:left w:val="none" w:sz="0" w:space="0" w:color="auto"/>
        <w:bottom w:val="none" w:sz="0" w:space="0" w:color="auto"/>
        <w:right w:val="none" w:sz="0" w:space="0" w:color="auto"/>
      </w:divBdr>
    </w:div>
    <w:div w:id="1118371898">
      <w:bodyDiv w:val="1"/>
      <w:marLeft w:val="0"/>
      <w:marRight w:val="0"/>
      <w:marTop w:val="0"/>
      <w:marBottom w:val="0"/>
      <w:divBdr>
        <w:top w:val="none" w:sz="0" w:space="0" w:color="auto"/>
        <w:left w:val="none" w:sz="0" w:space="0" w:color="auto"/>
        <w:bottom w:val="none" w:sz="0" w:space="0" w:color="auto"/>
        <w:right w:val="none" w:sz="0" w:space="0" w:color="auto"/>
      </w:divBdr>
    </w:div>
    <w:div w:id="1163205204">
      <w:bodyDiv w:val="1"/>
      <w:marLeft w:val="0"/>
      <w:marRight w:val="0"/>
      <w:marTop w:val="0"/>
      <w:marBottom w:val="0"/>
      <w:divBdr>
        <w:top w:val="none" w:sz="0" w:space="0" w:color="auto"/>
        <w:left w:val="none" w:sz="0" w:space="0" w:color="auto"/>
        <w:bottom w:val="none" w:sz="0" w:space="0" w:color="auto"/>
        <w:right w:val="none" w:sz="0" w:space="0" w:color="auto"/>
      </w:divBdr>
    </w:div>
    <w:div w:id="1260992789">
      <w:bodyDiv w:val="1"/>
      <w:marLeft w:val="0"/>
      <w:marRight w:val="0"/>
      <w:marTop w:val="0"/>
      <w:marBottom w:val="0"/>
      <w:divBdr>
        <w:top w:val="none" w:sz="0" w:space="0" w:color="auto"/>
        <w:left w:val="none" w:sz="0" w:space="0" w:color="auto"/>
        <w:bottom w:val="none" w:sz="0" w:space="0" w:color="auto"/>
        <w:right w:val="none" w:sz="0" w:space="0" w:color="auto"/>
      </w:divBdr>
    </w:div>
    <w:div w:id="1276597356">
      <w:bodyDiv w:val="1"/>
      <w:marLeft w:val="0"/>
      <w:marRight w:val="0"/>
      <w:marTop w:val="0"/>
      <w:marBottom w:val="0"/>
      <w:divBdr>
        <w:top w:val="none" w:sz="0" w:space="0" w:color="auto"/>
        <w:left w:val="none" w:sz="0" w:space="0" w:color="auto"/>
        <w:bottom w:val="none" w:sz="0" w:space="0" w:color="auto"/>
        <w:right w:val="none" w:sz="0" w:space="0" w:color="auto"/>
      </w:divBdr>
    </w:div>
    <w:div w:id="1368287368">
      <w:bodyDiv w:val="1"/>
      <w:marLeft w:val="0"/>
      <w:marRight w:val="0"/>
      <w:marTop w:val="0"/>
      <w:marBottom w:val="0"/>
      <w:divBdr>
        <w:top w:val="none" w:sz="0" w:space="0" w:color="auto"/>
        <w:left w:val="none" w:sz="0" w:space="0" w:color="auto"/>
        <w:bottom w:val="none" w:sz="0" w:space="0" w:color="auto"/>
        <w:right w:val="none" w:sz="0" w:space="0" w:color="auto"/>
      </w:divBdr>
    </w:div>
    <w:div w:id="1408190464">
      <w:bodyDiv w:val="1"/>
      <w:marLeft w:val="0"/>
      <w:marRight w:val="0"/>
      <w:marTop w:val="0"/>
      <w:marBottom w:val="0"/>
      <w:divBdr>
        <w:top w:val="none" w:sz="0" w:space="0" w:color="auto"/>
        <w:left w:val="none" w:sz="0" w:space="0" w:color="auto"/>
        <w:bottom w:val="none" w:sz="0" w:space="0" w:color="auto"/>
        <w:right w:val="none" w:sz="0" w:space="0" w:color="auto"/>
      </w:divBdr>
    </w:div>
    <w:div w:id="1445733823">
      <w:bodyDiv w:val="1"/>
      <w:marLeft w:val="0"/>
      <w:marRight w:val="0"/>
      <w:marTop w:val="0"/>
      <w:marBottom w:val="0"/>
      <w:divBdr>
        <w:top w:val="none" w:sz="0" w:space="0" w:color="auto"/>
        <w:left w:val="none" w:sz="0" w:space="0" w:color="auto"/>
        <w:bottom w:val="none" w:sz="0" w:space="0" w:color="auto"/>
        <w:right w:val="none" w:sz="0" w:space="0" w:color="auto"/>
      </w:divBdr>
    </w:div>
    <w:div w:id="1505319148">
      <w:bodyDiv w:val="1"/>
      <w:marLeft w:val="0"/>
      <w:marRight w:val="0"/>
      <w:marTop w:val="0"/>
      <w:marBottom w:val="0"/>
      <w:divBdr>
        <w:top w:val="none" w:sz="0" w:space="0" w:color="auto"/>
        <w:left w:val="none" w:sz="0" w:space="0" w:color="auto"/>
        <w:bottom w:val="none" w:sz="0" w:space="0" w:color="auto"/>
        <w:right w:val="none" w:sz="0" w:space="0" w:color="auto"/>
      </w:divBdr>
    </w:div>
    <w:div w:id="1508323981">
      <w:bodyDiv w:val="1"/>
      <w:marLeft w:val="0"/>
      <w:marRight w:val="0"/>
      <w:marTop w:val="0"/>
      <w:marBottom w:val="0"/>
      <w:divBdr>
        <w:top w:val="none" w:sz="0" w:space="0" w:color="auto"/>
        <w:left w:val="none" w:sz="0" w:space="0" w:color="auto"/>
        <w:bottom w:val="none" w:sz="0" w:space="0" w:color="auto"/>
        <w:right w:val="none" w:sz="0" w:space="0" w:color="auto"/>
      </w:divBdr>
    </w:div>
    <w:div w:id="1526213170">
      <w:bodyDiv w:val="1"/>
      <w:marLeft w:val="0"/>
      <w:marRight w:val="0"/>
      <w:marTop w:val="0"/>
      <w:marBottom w:val="0"/>
      <w:divBdr>
        <w:top w:val="none" w:sz="0" w:space="0" w:color="auto"/>
        <w:left w:val="none" w:sz="0" w:space="0" w:color="auto"/>
        <w:bottom w:val="none" w:sz="0" w:space="0" w:color="auto"/>
        <w:right w:val="none" w:sz="0" w:space="0" w:color="auto"/>
      </w:divBdr>
    </w:div>
    <w:div w:id="1526554118">
      <w:bodyDiv w:val="1"/>
      <w:marLeft w:val="0"/>
      <w:marRight w:val="0"/>
      <w:marTop w:val="0"/>
      <w:marBottom w:val="0"/>
      <w:divBdr>
        <w:top w:val="none" w:sz="0" w:space="0" w:color="auto"/>
        <w:left w:val="none" w:sz="0" w:space="0" w:color="auto"/>
        <w:bottom w:val="none" w:sz="0" w:space="0" w:color="auto"/>
        <w:right w:val="none" w:sz="0" w:space="0" w:color="auto"/>
      </w:divBdr>
    </w:div>
    <w:div w:id="1587226531">
      <w:bodyDiv w:val="1"/>
      <w:marLeft w:val="0"/>
      <w:marRight w:val="0"/>
      <w:marTop w:val="0"/>
      <w:marBottom w:val="0"/>
      <w:divBdr>
        <w:top w:val="none" w:sz="0" w:space="0" w:color="auto"/>
        <w:left w:val="none" w:sz="0" w:space="0" w:color="auto"/>
        <w:bottom w:val="none" w:sz="0" w:space="0" w:color="auto"/>
        <w:right w:val="none" w:sz="0" w:space="0" w:color="auto"/>
      </w:divBdr>
    </w:div>
    <w:div w:id="1666204463">
      <w:bodyDiv w:val="1"/>
      <w:marLeft w:val="0"/>
      <w:marRight w:val="0"/>
      <w:marTop w:val="0"/>
      <w:marBottom w:val="0"/>
      <w:divBdr>
        <w:top w:val="none" w:sz="0" w:space="0" w:color="auto"/>
        <w:left w:val="none" w:sz="0" w:space="0" w:color="auto"/>
        <w:bottom w:val="none" w:sz="0" w:space="0" w:color="auto"/>
        <w:right w:val="none" w:sz="0" w:space="0" w:color="auto"/>
      </w:divBdr>
    </w:div>
    <w:div w:id="1683048027">
      <w:bodyDiv w:val="1"/>
      <w:marLeft w:val="0"/>
      <w:marRight w:val="0"/>
      <w:marTop w:val="0"/>
      <w:marBottom w:val="0"/>
      <w:divBdr>
        <w:top w:val="none" w:sz="0" w:space="0" w:color="auto"/>
        <w:left w:val="none" w:sz="0" w:space="0" w:color="auto"/>
        <w:bottom w:val="none" w:sz="0" w:space="0" w:color="auto"/>
        <w:right w:val="none" w:sz="0" w:space="0" w:color="auto"/>
      </w:divBdr>
    </w:div>
    <w:div w:id="1687439789">
      <w:bodyDiv w:val="1"/>
      <w:marLeft w:val="0"/>
      <w:marRight w:val="0"/>
      <w:marTop w:val="0"/>
      <w:marBottom w:val="0"/>
      <w:divBdr>
        <w:top w:val="none" w:sz="0" w:space="0" w:color="auto"/>
        <w:left w:val="none" w:sz="0" w:space="0" w:color="auto"/>
        <w:bottom w:val="none" w:sz="0" w:space="0" w:color="auto"/>
        <w:right w:val="none" w:sz="0" w:space="0" w:color="auto"/>
      </w:divBdr>
    </w:div>
    <w:div w:id="1775321217">
      <w:bodyDiv w:val="1"/>
      <w:marLeft w:val="0"/>
      <w:marRight w:val="0"/>
      <w:marTop w:val="0"/>
      <w:marBottom w:val="0"/>
      <w:divBdr>
        <w:top w:val="none" w:sz="0" w:space="0" w:color="auto"/>
        <w:left w:val="none" w:sz="0" w:space="0" w:color="auto"/>
        <w:bottom w:val="none" w:sz="0" w:space="0" w:color="auto"/>
        <w:right w:val="none" w:sz="0" w:space="0" w:color="auto"/>
      </w:divBdr>
    </w:div>
    <w:div w:id="1789665848">
      <w:bodyDiv w:val="1"/>
      <w:marLeft w:val="0"/>
      <w:marRight w:val="0"/>
      <w:marTop w:val="0"/>
      <w:marBottom w:val="0"/>
      <w:divBdr>
        <w:top w:val="none" w:sz="0" w:space="0" w:color="auto"/>
        <w:left w:val="none" w:sz="0" w:space="0" w:color="auto"/>
        <w:bottom w:val="none" w:sz="0" w:space="0" w:color="auto"/>
        <w:right w:val="none" w:sz="0" w:space="0" w:color="auto"/>
      </w:divBdr>
    </w:div>
    <w:div w:id="1811243342">
      <w:bodyDiv w:val="1"/>
      <w:marLeft w:val="0"/>
      <w:marRight w:val="0"/>
      <w:marTop w:val="0"/>
      <w:marBottom w:val="0"/>
      <w:divBdr>
        <w:top w:val="none" w:sz="0" w:space="0" w:color="auto"/>
        <w:left w:val="none" w:sz="0" w:space="0" w:color="auto"/>
        <w:bottom w:val="none" w:sz="0" w:space="0" w:color="auto"/>
        <w:right w:val="none" w:sz="0" w:space="0" w:color="auto"/>
      </w:divBdr>
    </w:div>
    <w:div w:id="1823231930">
      <w:bodyDiv w:val="1"/>
      <w:marLeft w:val="0"/>
      <w:marRight w:val="0"/>
      <w:marTop w:val="0"/>
      <w:marBottom w:val="0"/>
      <w:divBdr>
        <w:top w:val="none" w:sz="0" w:space="0" w:color="auto"/>
        <w:left w:val="none" w:sz="0" w:space="0" w:color="auto"/>
        <w:bottom w:val="none" w:sz="0" w:space="0" w:color="auto"/>
        <w:right w:val="none" w:sz="0" w:space="0" w:color="auto"/>
      </w:divBdr>
    </w:div>
    <w:div w:id="1843743259">
      <w:bodyDiv w:val="1"/>
      <w:marLeft w:val="0"/>
      <w:marRight w:val="0"/>
      <w:marTop w:val="0"/>
      <w:marBottom w:val="0"/>
      <w:divBdr>
        <w:top w:val="none" w:sz="0" w:space="0" w:color="auto"/>
        <w:left w:val="none" w:sz="0" w:space="0" w:color="auto"/>
        <w:bottom w:val="none" w:sz="0" w:space="0" w:color="auto"/>
        <w:right w:val="none" w:sz="0" w:space="0" w:color="auto"/>
      </w:divBdr>
    </w:div>
    <w:div w:id="1867252923">
      <w:bodyDiv w:val="1"/>
      <w:marLeft w:val="0"/>
      <w:marRight w:val="0"/>
      <w:marTop w:val="0"/>
      <w:marBottom w:val="0"/>
      <w:divBdr>
        <w:top w:val="none" w:sz="0" w:space="0" w:color="auto"/>
        <w:left w:val="none" w:sz="0" w:space="0" w:color="auto"/>
        <w:bottom w:val="none" w:sz="0" w:space="0" w:color="auto"/>
        <w:right w:val="none" w:sz="0" w:space="0" w:color="auto"/>
      </w:divBdr>
    </w:div>
    <w:div w:id="1968850983">
      <w:bodyDiv w:val="1"/>
      <w:marLeft w:val="0"/>
      <w:marRight w:val="0"/>
      <w:marTop w:val="0"/>
      <w:marBottom w:val="0"/>
      <w:divBdr>
        <w:top w:val="none" w:sz="0" w:space="0" w:color="auto"/>
        <w:left w:val="none" w:sz="0" w:space="0" w:color="auto"/>
        <w:bottom w:val="none" w:sz="0" w:space="0" w:color="auto"/>
        <w:right w:val="none" w:sz="0" w:space="0" w:color="auto"/>
      </w:divBdr>
    </w:div>
    <w:div w:id="2005083912">
      <w:bodyDiv w:val="1"/>
      <w:marLeft w:val="0"/>
      <w:marRight w:val="0"/>
      <w:marTop w:val="0"/>
      <w:marBottom w:val="0"/>
      <w:divBdr>
        <w:top w:val="none" w:sz="0" w:space="0" w:color="auto"/>
        <w:left w:val="none" w:sz="0" w:space="0" w:color="auto"/>
        <w:bottom w:val="none" w:sz="0" w:space="0" w:color="auto"/>
        <w:right w:val="none" w:sz="0" w:space="0" w:color="auto"/>
      </w:divBdr>
    </w:div>
    <w:div w:id="2009094006">
      <w:bodyDiv w:val="1"/>
      <w:marLeft w:val="0"/>
      <w:marRight w:val="0"/>
      <w:marTop w:val="0"/>
      <w:marBottom w:val="0"/>
      <w:divBdr>
        <w:top w:val="none" w:sz="0" w:space="0" w:color="auto"/>
        <w:left w:val="none" w:sz="0" w:space="0" w:color="auto"/>
        <w:bottom w:val="none" w:sz="0" w:space="0" w:color="auto"/>
        <w:right w:val="none" w:sz="0" w:space="0" w:color="auto"/>
      </w:divBdr>
    </w:div>
    <w:div w:id="2032951802">
      <w:bodyDiv w:val="1"/>
      <w:marLeft w:val="0"/>
      <w:marRight w:val="0"/>
      <w:marTop w:val="0"/>
      <w:marBottom w:val="0"/>
      <w:divBdr>
        <w:top w:val="none" w:sz="0" w:space="0" w:color="auto"/>
        <w:left w:val="none" w:sz="0" w:space="0" w:color="auto"/>
        <w:bottom w:val="none" w:sz="0" w:space="0" w:color="auto"/>
        <w:right w:val="none" w:sz="0" w:space="0" w:color="auto"/>
      </w:divBdr>
    </w:div>
    <w:div w:id="2063168961">
      <w:bodyDiv w:val="1"/>
      <w:marLeft w:val="0"/>
      <w:marRight w:val="0"/>
      <w:marTop w:val="0"/>
      <w:marBottom w:val="0"/>
      <w:divBdr>
        <w:top w:val="none" w:sz="0" w:space="0" w:color="auto"/>
        <w:left w:val="none" w:sz="0" w:space="0" w:color="auto"/>
        <w:bottom w:val="none" w:sz="0" w:space="0" w:color="auto"/>
        <w:right w:val="none" w:sz="0" w:space="0" w:color="auto"/>
      </w:divBdr>
    </w:div>
    <w:div w:id="2076077881">
      <w:bodyDiv w:val="1"/>
      <w:marLeft w:val="0"/>
      <w:marRight w:val="0"/>
      <w:marTop w:val="0"/>
      <w:marBottom w:val="0"/>
      <w:divBdr>
        <w:top w:val="none" w:sz="0" w:space="0" w:color="auto"/>
        <w:left w:val="none" w:sz="0" w:space="0" w:color="auto"/>
        <w:bottom w:val="none" w:sz="0" w:space="0" w:color="auto"/>
        <w:right w:val="none" w:sz="0" w:space="0" w:color="auto"/>
      </w:divBdr>
    </w:div>
    <w:div w:id="2134395479">
      <w:bodyDiv w:val="1"/>
      <w:marLeft w:val="0"/>
      <w:marRight w:val="0"/>
      <w:marTop w:val="0"/>
      <w:marBottom w:val="0"/>
      <w:divBdr>
        <w:top w:val="none" w:sz="0" w:space="0" w:color="auto"/>
        <w:left w:val="none" w:sz="0" w:space="0" w:color="auto"/>
        <w:bottom w:val="none" w:sz="0" w:space="0" w:color="auto"/>
        <w:right w:val="none" w:sz="0" w:space="0" w:color="auto"/>
      </w:divBdr>
    </w:div>
    <w:div w:id="213845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ecd-ilibrary.org/economics/oecd-economic-outlook/volume-2020/issue-2_34bfd999-en" TargetMode="External"/><Relationship Id="rId26"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6070&amp;_documents_WAR_publicationsportlet_INSTANCE_qDQ8fBKKo4lN_locale=el" TargetMode="External"/><Relationship Id="rId39" Type="http://schemas.openxmlformats.org/officeDocument/2006/relationships/image" Target="media/image5.png"/><Relationship Id="rId21" Type="http://schemas.openxmlformats.org/officeDocument/2006/relationships/hyperlink" Target="https://ec.europa.eu/info/publications/european-economic-forecast-winter-2021_en?utm_source=ecfin_new_publication&amp;utm_medium=email&amp;utm_campaign=publication" TargetMode="External"/><Relationship Id="rId34"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6449&amp;_documents_WAR_publicationsportlet_INSTANCE_qDQ8fBKKo4lN_locale=el" TargetMode="External"/><Relationship Id="rId42" Type="http://schemas.openxmlformats.org/officeDocument/2006/relationships/hyperlink" Target="https://ec.europa.eu/info/sites/info/files/economy-finance/ip125_en.pdf" TargetMode="External"/><Relationship Id="rId47" Type="http://schemas.openxmlformats.org/officeDocument/2006/relationships/hyperlink" Target="https://appsso.eurostat.ec.europa.eu/nui/show.do?query=BOOKMARK_DS-055104_QID_3464EC68_UID_-3F171EB0&amp;layout=COICOP,L,X,0;TIME,C,Y,0;UNIT,L,Z,0;GEO,L,Z,1;INDICATORS,C,Z,2;&amp;zSelection=DS-055104UNIT,RCH_A;DS-055104INDICATORS,OBS_FLAG;DS-055104GEO,EL;&amp;rankName1=UNIT_1_2_-1_2&amp;rankName2=INDICATORS_1_2_-1_2&amp;rankName3=GEO_1_2_1_1&amp;rankName4=COICOP_1_2_0_0&amp;rankName5=TIME_1_0_0_1&amp;sortR=ASC_-1_FIRST&amp;pprRK=FIRST&amp;pprSO=ASC&amp;rStp=&amp;cStp=&amp;rDCh=&amp;cDCh=&amp;rDM=true&amp;cDM=true&amp;footnes=false&amp;empty=false&amp;wai=false&amp;time_mode=FIXED&amp;time_most_recent=false&amp;lang=EN&amp;cfo=%23%23%23%2C%23%23%23.%23%23%23" TargetMode="External"/><Relationship Id="rId50" Type="http://schemas.openxmlformats.org/officeDocument/2006/relationships/hyperlink" Target="https://www.bankofgreece.gr/enimerosi/grafeio-typoy/anazhthsh-enhmerwsewn/enhmerwseis?announcement=cb7c81c4-7f83-4801-aa9e-c2847d51b8c9" TargetMode="External"/><Relationship Id="rId55" Type="http://schemas.openxmlformats.org/officeDocument/2006/relationships/image" Target="media/image10.png"/><Relationship Id="rId63" Type="http://schemas.openxmlformats.org/officeDocument/2006/relationships/hyperlink" Target="https://www.statistics.gr/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29479&amp;_documents_WAR_publicationsportlet_INSTANCE_qDQ8fBKKo4lN_locale=el" TargetMode="External"/><Relationship Id="rId68" Type="http://schemas.openxmlformats.org/officeDocument/2006/relationships/hyperlink" Target="https://www.minfin.gr/web/guest/deltia-ekteleses-proupologismou/-/asset_publisher/CQoWAEaKCKga/content/deltio-meniaion-stoicheion-genikes-kyberneses-dekembriou-2020?inheritRedirect=false&amp;redirect=https%3A%2F%2Fwww.minfin.gr%2Fweb%2Fguest%2Fdeltia-ekteleses-proupologismou%3Fp_p_id%3D101_INSTANCE_CQoWAEaKCKga%26p_p_lifecycle%3D0%26p_p_state%3Dnormal%26p_p_mode%3Dview%26p_p_col_id%3Dcolumn-2%26p_p_col_count%3D1" TargetMode="External"/><Relationship Id="rId76" Type="http://schemas.openxmlformats.org/officeDocument/2006/relationships/hyperlink" Target="http://www.pdma.gr/el/debt-instruments-gr/announcements-gr/3176-%CE%B5%CF%80%CE%B1%CE%BD%CE%B5%CE%BA%CE%B4%CE%BF%CF%83%CE%B7-10-%CE%B5%CF%84%CE%BF%CF%85%CF%83-%CE%BF%CE%B5%CE%B4" TargetMode="External"/><Relationship Id="rId84" Type="http://schemas.openxmlformats.org/officeDocument/2006/relationships/hyperlink" Target="https://ec.europa.eu/info/publications/debt-sustainability-monitor-2020_en" TargetMode="External"/><Relationship Id="rId89" Type="http://schemas.openxmlformats.org/officeDocument/2006/relationships/image" Target="media/image16.jpeg"/><Relationship Id="rId7" Type="http://schemas.openxmlformats.org/officeDocument/2006/relationships/footnotes" Target="footnotes.xml"/><Relationship Id="rId71" Type="http://schemas.openxmlformats.org/officeDocument/2006/relationships/image" Target="media/image13.png"/><Relationship Id="rId92" Type="http://schemas.openxmlformats.org/officeDocument/2006/relationships/hyperlink" Target="https://www.bankofgreece.gr/ekdoseis-ereyna/ekdoseis/ekthesh-nomismatikhs-politikhs" TargetMode="External"/><Relationship Id="rId2" Type="http://schemas.openxmlformats.org/officeDocument/2006/relationships/customXml" Target="../customXml/item2.xml"/><Relationship Id="rId16" Type="http://schemas.openxmlformats.org/officeDocument/2006/relationships/hyperlink" Target="https://www.imf.org/en/Publications/WEO/Issues/2021/01/26/2021-world-economic-outlook-update" TargetMode="External"/><Relationship Id="rId29" Type="http://schemas.openxmlformats.org/officeDocument/2006/relationships/hyperlink" Target="http://www.statistics.gr/el/statistics/-/publication/DKT36/-" TargetMode="External"/><Relationship Id="rId11" Type="http://schemas.openxmlformats.org/officeDocument/2006/relationships/header" Target="header1.xml"/><Relationship Id="rId24" Type="http://schemas.openxmlformats.org/officeDocument/2006/relationships/hyperlink" Target="https://www.policyuncertainty.com/index.html" TargetMode="External"/><Relationship Id="rId32" Type="http://schemas.openxmlformats.org/officeDocument/2006/relationships/hyperlink" Target="https://www.statistics.gr/el/statistics/-/publication/SEL81/-"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www.bankofgreece.gr/statistika/nomismatikh-kai-trapezikh-statistiki/katatheseis-twn-pistwtikwn-idrymatwn" TargetMode="External"/><Relationship Id="rId53" Type="http://schemas.openxmlformats.org/officeDocument/2006/relationships/hyperlink" Target="https://www.statistics.gr/documents/20181/b17db220-2a75-5e89-efcb-4eb03ddf7cca" TargetMode="External"/><Relationship Id="rId58"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1207&amp;_documents_WAR_publicationsportlet_INSTANCE_qDQ8fBKKo4lN_locale=el" TargetMode="External"/><Relationship Id="rId66" Type="http://schemas.openxmlformats.org/officeDocument/2006/relationships/hyperlink" Target="https://www.minfin.gr/web/guest/deltia-ekteleses-proupologismou/-/asset_publisher/CQoWAEaKCKga/content/deltio-meniaion-stoicheion-genikes-kyberneses-dekembriou-2020?inheritRedirect=false&amp;redirect=https%3A%2F%2Fwww.minfin.gr%2Fweb%2Fguest%2Fdeltia-ekteleses-proupologismou%3Fp_p_id%3D101_INSTANCE_CQoWAEaKCKga%26p_p_lifecycle%3D0%26p_p_state%3Dnormal%26p_p_mode%3Dview%26p_p_col_id%3Dcolumn-2%26p_p_col_count%3D1" TargetMode="External"/><Relationship Id="rId74" Type="http://schemas.openxmlformats.org/officeDocument/2006/relationships/hyperlink" Target="http://www.pdma.gr/el/debt-instruments-gr/announcements-gr/3552-%CE%B5%CE%BA%CE%B4%CE%BF%CF%83%CE%B7-30-%CE%B5%CF%84%CE%BF%CF%85%CF%83-%CE%BF%CE%B5%CE%B4" TargetMode="External"/><Relationship Id="rId79" Type="http://schemas.openxmlformats.org/officeDocument/2006/relationships/hyperlink" Target="http://www.pdma.gr/el/debt-instruments-gr/announcements-gr/3541-%CE%B5%CE%BD%CF%84%CE%BF%CE%BA%CE%B1-%CE%B3%CF%81%CE%B1%CE%BC%CE%BC%CE%B1%CF%84%CE%B9%CE%B1-%CE%B5%CE%BB%CE%BB%CE%B7%CE%BD%CE%B9%CE%BA%CE%BF%CF%85-%CE%B4%CE%B7%CE%BC%CE%BF%CF%83%CE%B9%CE%BF%CF%85-52-%CE%B5%CE%B2%CE%B4%CE%BF%CE%BC%CE%B1%CE%B4%CF%89%CE%BD-%CE%B1%CF%80%CE%BF%CF%84%CE%B5%CE%BB%CE%B5%CF%83%CE%BC%CE%B1%CF%84%CE%B1-%CF%83%CF%85%CE%BC%CF%80%CE%BB%CE%B7%CF%81%CF%89%CE%BC%CE%B1%CF%84%CE%B9%CE%BA%CF%89%CE%BD-%CE%BC%CE%B7-%CE%B1%CE%BD%CF%84%CE%B1%CE%B3%CF%89%CE%BD%CE%B9%CF%83%CF%84%CE%B9%CE%BA%CF%89%CE%BD-%CF%80%CF%81%CE%BF%CF%83%CF%86%CE%BF%CF%81%CF%89%CE%BD-8" TargetMode="External"/><Relationship Id="rId87" Type="http://schemas.openxmlformats.org/officeDocument/2006/relationships/hyperlink" Target="https://ec.europa.eu/eurostat/statistics-explained/index.php/Government_expenditure_by_function" TargetMode="External"/><Relationship Id="rId5" Type="http://schemas.openxmlformats.org/officeDocument/2006/relationships/settings" Target="settings.xml"/><Relationship Id="rId61" Type="http://schemas.openxmlformats.org/officeDocument/2006/relationships/hyperlink" Target="https://appsso.eurostat.ec.europa.eu/nui/show.do?query=BOOKMARK_DS-055926_QID_-A6309B1_UID_-3F171EB0&amp;layout=GEO,L,X,0;TIME,C,Y,0;SEX,L,Z,0;AGE,L,Z,1;UNIT,L,Z,2;INDICATORS,C,Z,3;&amp;zSelection=DS-055926AGE,Y15-64;DS-055926INDICATORS,OBS_FLAG;DS-055926UNIT,PC;DS-055926SEX,T;&amp;rankName1=UNIT_1_2_-1_2&amp;rankName2=AGE_1_2_-1_2&amp;rankName3=INDICATORS_1_2_-1_2&amp;rankName4=SEX_1_2_-1_2&amp;rankName5=GEO_1_2_0_0&amp;rankName6=TIME_1_0_0_1&amp;sortR=ASC_-1_FIRST&amp;rStp=&amp;cStp=&amp;rDCh=&amp;cDCh=&amp;rDM=true&amp;cDM=true&amp;footnes=false&amp;empty=false&amp;wai=false&amp;time_mode=FIXED&amp;time_most_recent=false&amp;lang=EN&amp;cfo=%23%23%23%2C%23%23%23.%23%23%23" TargetMode="External"/><Relationship Id="rId82" Type="http://schemas.openxmlformats.org/officeDocument/2006/relationships/hyperlink" Target="http://www.pdma.gr/el/debt-instruments-gr/announcements-gr/3467-%CE%B1%CF%80%CE%BF%CF%84%CE%B5%CE%BB%CE%B5%CF%83%CE%BC%CE%B1%CF%84%CE%B1-%CE%B4%CE%B7%CE%BC%CE%BF%CF%80%CF%81%CE%B1%CF%83%CE%B9%CE%B1%CF%83-%CE%B5%CE%BD%CF%84%CE%BF%CE%BA%CF%89%CE%BD-13-%CE%B5%CE%B2%CE%B4%CE%BF%CE%BC%CE%B1%CE%B4%CF%89%CE%BD-17" TargetMode="External"/><Relationship Id="rId90" Type="http://schemas.openxmlformats.org/officeDocument/2006/relationships/image" Target="media/image17.jpeg"/><Relationship Id="rId95" Type="http://schemas.openxmlformats.org/officeDocument/2006/relationships/fontTable" Target="fontTable.xml"/><Relationship Id="rId19" Type="http://schemas.openxmlformats.org/officeDocument/2006/relationships/hyperlink" Target="https://www.oecd-ilibrary.org/economics/oecd-economic-outlook/volume-2020/issue-2_39a88ab1-en" TargetMode="External"/><Relationship Id="rId14" Type="http://schemas.openxmlformats.org/officeDocument/2006/relationships/footer" Target="footer2.xml"/><Relationship Id="rId22" Type="http://schemas.openxmlformats.org/officeDocument/2006/relationships/hyperlink" Target="https://ec.europa.eu/info/sites/info/files/economy-finance/ip125_en.pdf" TargetMode="External"/><Relationship Id="rId27" Type="http://schemas.openxmlformats.org/officeDocument/2006/relationships/hyperlink" Target="https://appsso.eurostat.ec.europa.eu/nui/show.do?query=BOOKMARK_DS-406763_QID_-AE29537_UID_-3F171EB0&amp;layout=GEO,L,X,0;TIME,C,Y,0;UNIT,L,Z,0;NA_ITEM,L,Z,1;INDICATORS,C,Z,2;&amp;zSelection=DS-406763INDICATORS,OBS_FLAG;DS-406763UNIT,CLV_PCH_PRE;DS-406763NA_ITEM,B1GQ;&amp;rankName1=UNIT_1_2_-1_2&amp;rankName2=INDICATORS_1_2_-1_2&amp;rankName3=NA-ITEM_1_2_-1_2&amp;rankName4=GEO_1_2_0_0&amp;rankName5=TIME_1_0_0_1&amp;sortR=ASC_-1_FIRST&amp;rStp=&amp;cStp=&amp;rDCh=&amp;cDCh=&amp;rDM=true&amp;cDM=true&amp;footnes=false&amp;empty=false&amp;wai=false&amp;time_mode=FIXED&amp;time_most_recent=false&amp;lang=EN&amp;cfo=%23%23%23%2C%23%23%23.%23%23%23" TargetMode="External"/><Relationship Id="rId30"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6070&amp;_documents_WAR_publicationsportlet_INSTANCE_qDQ8fBKKo4lN_locale=el" TargetMode="External"/><Relationship Id="rId35" Type="http://schemas.openxmlformats.org/officeDocument/2006/relationships/hyperlink" Target="https://www.statistics.gr/documents/20181/fbc34fdb-47ca-3f8f-d8a5-bf621132550f" TargetMode="External"/><Relationship Id="rId43" Type="http://schemas.openxmlformats.org/officeDocument/2006/relationships/hyperlink" Target="https://ec.europa.eu/info/publications/enhanced-surveillance-report-greece-february-2021_en?utm_source=ecfin_new_publication&amp;utm_medium=email&amp;utm_campaign=publication" TargetMode="External"/><Relationship Id="rId48" Type="http://schemas.openxmlformats.org/officeDocument/2006/relationships/image" Target="media/image7.png"/><Relationship Id="rId56" Type="http://schemas.openxmlformats.org/officeDocument/2006/relationships/hyperlink" Target="https://appsso.eurostat.ec.europa.eu/nui/show.do?query=BOOKMARK_DS-055968_QID_-7516A801_UID_-3F171EB0&amp;layout=AGE,L,X,0;GEO,L,X,1;TIME,C,Y,0;SEX,L,Z,0;CITIZEN,L,Z,1;UNIT,L,Z,2;INDICATORS,C,Z,3;&amp;zSelection=DS-055968CITIZEN,TOTAL;DS-055968INDICATORS,OBS_FLAG;DS-055968SEX,T;DS-055968UNIT,PC;&amp;rankName1=UNIT_1_2_-1_2&amp;rankName2=CITIZEN_1_2_-1_2&amp;rankName3=INDICATORS_1_2_-1_2&amp;rankName4=SEX_1_2_-1_2&amp;rankName5=AGE_1_2_0_0&amp;rankName6=GEO_1_2_1_0&amp;rankName7=TIME_1_0_0_1&amp;sortR=ASC_-1_FIRST&amp;rStp=&amp;cStp=&amp;rDCh=&amp;cDCh=&amp;rDM=true&amp;cDM=true&amp;footnes=false&amp;empty=false&amp;wai=false&amp;time_mode=FIXED&amp;time_most_recent=false&amp;lang=EN&amp;cfo=%23%23%23%2C%23%23%23.%23%23%23" TargetMode="External"/><Relationship Id="rId64"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3975&amp;_documents_WAR_publicationsportlet_INSTANCE_qDQ8fBKKo4lN_locale=el" TargetMode="External"/><Relationship Id="rId69" Type="http://schemas.openxmlformats.org/officeDocument/2006/relationships/image" Target="media/image11.jpeg"/><Relationship Id="rId77" Type="http://schemas.openxmlformats.org/officeDocument/2006/relationships/hyperlink" Target="https://www.minfin.gr/web/guest/deltia-typou/-/asset_publisher/4kjvD0lBldee/content/oloklerose-tes-neas-proores-apopleromes-tou-diethnous-nomismatikou-tameiou?inheritRedirect=false&amp;redirect=https%3A%2F%2Fwww.minfin.gr%2Fweb%2Fguest%2Fdeltia-typou%3Fp_p_id%3D101_INSTANCE_4kjvD0lBldee%26p_p_lifecycle%3D0%26p_p_state%3Dnormal%26p_p_mode%3Dview%26p_p_col_id%3Dcolumn-2%26p_p_col_count%3D1" TargetMode="Externa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yperlink" Target="https://www.efka.gov.gr/el/ektheseis-proodoy-ton-ergasion-toy-keao" TargetMode="External"/><Relationship Id="rId80" Type="http://schemas.openxmlformats.org/officeDocument/2006/relationships/hyperlink" Target="http://www.pdma.gr/el/debt-instruments-gr/announcements-gr/3509-%CE%B1%CF%80%CE%BF%CF%84%CE%B5%CE%BB%CE%B5%CF%83%CE%BC%CE%B1%CF%84%CE%B1-%CE%B4%CE%B7%CE%BC%CE%BF%CF%80%CF%81%CE%B1%CF%83%CE%B9%CE%B1%CF%83-%CE%B5%CE%BD%CF%84%CE%BF%CE%BA%CF%89%CE%BD-26-%CE%B5%CE%B2%CE%B4%CE%BF%CE%BC%CE%B1%CE%B4%CF%89%CE%BD-26" TargetMode="External"/><Relationship Id="rId85" Type="http://schemas.openxmlformats.org/officeDocument/2006/relationships/hyperlink" Target="http://www.et.gr/idocs-nph/search/pdfViewerForm.html?args=5C7QrtC22wFqnM3eAbJzrXdtvSoClrL8C7zJqgnbkUX3U4LPcASlceJInJ48_97uHrMts-zFzeyCiBSQOpYnTy36MacmUFCx2ppFvBej56Mmc8Qdb8ZfRJqZnsIAdk8Lv_e6czmhEembNmZCMxLMtWn8dBmSVDO0O-730jYqn_AVuKWXcJugL5CAxqHL9oFu" TargetMode="External"/><Relationship Id="rId93"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imf.org/en/Publications/WEO/Issues/2020/09/30/world-economic-outlook-october-2020" TargetMode="External"/><Relationship Id="rId25" Type="http://schemas.openxmlformats.org/officeDocument/2006/relationships/image" Target="media/image2.png"/><Relationship Id="rId33" Type="http://schemas.openxmlformats.org/officeDocument/2006/relationships/hyperlink" Target="https://ec.europa.eu/info/sites/info/files/full_bcs_2021_02_en.pdf" TargetMode="External"/><Relationship Id="rId38" Type="http://schemas.openxmlformats.org/officeDocument/2006/relationships/image" Target="media/image4.png"/><Relationship Id="rId46" Type="http://schemas.openxmlformats.org/officeDocument/2006/relationships/hyperlink" Target="https://www.bankofgreece.gr/statistika/nomismatikh-kai-trapezikh-statistiki/epitokia-katathesewn-kai-daneiwn" TargetMode="External"/><Relationship Id="rId59" Type="http://schemas.openxmlformats.org/officeDocument/2006/relationships/hyperlink" Target="https://www.statistics.gr/documents/20181/b17db220-2a75-5e89-efcb-4eb03ddf7cca" TargetMode="External"/><Relationship Id="rId67" Type="http://schemas.openxmlformats.org/officeDocument/2006/relationships/hyperlink" Target="https://www.minfin.gr/web/guest/deltia-ekteleses-proupologismou/-/asset_publisher/CQoWAEaKCKga/content/ektelese-kratikou-proupologismou-dekembriou-20-2?inheritRedirect=false&amp;redirect=https%3A%2F%2Fwww.minfin.gr%2Fweb%2Fguest%2Fdeltia-ekteleses-proupologismou%3Fp_p_id%3D101_INSTANCE_CQoWAEaKCKga%26p_p_lifecycle%3D0%26p_p_state%3Dnormal%26p_p_mode%3Dview%26p_p_col_id%3Dcolumn-2%26p_p_col_count%3D1" TargetMode="External"/><Relationship Id="rId20" Type="http://schemas.openxmlformats.org/officeDocument/2006/relationships/hyperlink" Target="https://www.imf.org/en/Publications/WEO/Issues/2021/01/26/2021-world-economic-outlook-update" TargetMode="External"/><Relationship Id="rId41" Type="http://schemas.openxmlformats.org/officeDocument/2006/relationships/hyperlink" Target="https://ec.europa.eu/info/publications/european-economic-forecast-winter-2021_en?utm_source=ecfin_new_publication&amp;utm_medium=email&amp;utm_campaign=publication" TargetMode="External"/><Relationship Id="rId54" Type="http://schemas.openxmlformats.org/officeDocument/2006/relationships/image" Target="media/image9.png"/><Relationship Id="rId62" Type="http://schemas.openxmlformats.org/officeDocument/2006/relationships/hyperlink" Target="https://ypergasias.gov.gr/wp-content/uploads/2021/02/1.%CE%95%CE%A1%CE%93%CE%91%CE%9D%CE%97-%CE%99%CE%91%CE%9D%CE%9F%CE%A5%CE%91%CE%A1%CE%99%CE%9F%CE%A3-2021.pdf" TargetMode="External"/><Relationship Id="rId70" Type="http://schemas.openxmlformats.org/officeDocument/2006/relationships/image" Target="media/image12.png"/><Relationship Id="rId75" Type="http://schemas.openxmlformats.org/officeDocument/2006/relationships/hyperlink" Target="http://www.pdma.gr/el/debt-instruments-gr/announcements-gr/3449-%CE%B5%CE%BA%CE%B4%CE%BF%CF%83%CE%B7-10-%CE%B5%CF%84%CE%BF%CF%85%CF%83-%CE%BF%CE%B5%CE%B4-2" TargetMode="External"/><Relationship Id="rId83" Type="http://schemas.openxmlformats.org/officeDocument/2006/relationships/hyperlink" Target="http://www.pdma.gr/el/debt-instruments-gr/announcements-gr/3473-%CE%B5%CE%BD%CF%84%CE%BF%CE%BA%CE%B1-%CE%B3%CF%81%CE%B1%CE%BC%CE%BC%CE%B1%CF%84%CE%B9%CE%B1-%CE%B5%CE%BB%CE%BB%CE%B7%CE%BD%CE%B9%CE%BA%CE%BF%CF%85-%CE%B4%CE%B7%CE%BC%CE%BF%CF%83%CE%B9%CE%BF%CF%85-13-%CE%B5%CE%B2%CE%B4%CE%BF%CE%BC%CE%B1%CE%B4%CF%89%CE%BD-%CE%B1%CF%80%CE%BF%CF%84%CE%B5%CE%BB%CE%B5%CF%83%CE%BC%CE%B1%CF%84%CE%B1-%CF%83%CF%85%CE%BC%CF%80%CE%BB%CE%B7%CF%81%CF%89%CE%BC%CE%B1%CF%84%CE%B9%CE%BA%CF%89%CE%BD-%CE%BC%CE%B7-%CE%B1%CE%BD%CF%84%CE%B1%CE%B3%CF%89%CE%BD%CE%B9%CF%83%CF%84%CE%B9%CE%BA%CF%89%CE%BD-%CF%80%CF%81%CE%BF%CF%83%CF%86%CE%BF%CF%81%CF%89%CE%BD-16" TargetMode="External"/><Relationship Id="rId88" Type="http://schemas.openxmlformats.org/officeDocument/2006/relationships/image" Target="media/image15.jpeg"/><Relationship Id="rId91" Type="http://schemas.openxmlformats.org/officeDocument/2006/relationships/hyperlink" Target="https://www.bankofgreece.gr/statistika/ekseliksh-daneiwn-kai-kathysterhsewn"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ankofgreece.gr/enimerosi/grafeio-typoy/anazhthsh-enhmerwsewn/enhmerwseis?announcement=093cab3d-7792-4530-94ba-b6fa8d953205" TargetMode="External"/><Relationship Id="rId23" Type="http://schemas.openxmlformats.org/officeDocument/2006/relationships/hyperlink" Target="https://ec.europa.eu/info/publications/european-economic-forecast-autumn-2020_en" TargetMode="External"/><Relationship Id="rId28" Type="http://schemas.openxmlformats.org/officeDocument/2006/relationships/hyperlink" Target="https://appsso.eurostat.ec.europa.eu/nui/show.do?query=BOOKMARK_DS-406779_QID_-2467AF9A_UID_-3F171EB0&amp;layout=GEO,L,X,0;TIME,C,Y,0;UNIT,L,Z,0;S_ADJ,L,Z,1;NA_ITEM,L,Z,2;INDICATORS,C,Z,3;&amp;zSelection=DS-406779UNIT,CLV_PCH_SM;DS-406779INDICATORS,OBS_FLAG;DS-406779S_ADJ,SCA;DS-406779NA_ITEM,B1GQ;&amp;rankName1=UNIT_1_2_-1_2&amp;rankName2=INDICATORS_1_2_-1_2&amp;rankName3=NA-ITEM_1_2_-1_2&amp;rankName4=S-ADJ_1_2_-1_2&amp;rankName5=GEO_1_2_0_0&amp;rankName6=TIME_1_0_0_1&amp;sortR=ASC_-1_FIRST&amp;rStp=&amp;cStp=&amp;rDCh=&amp;cDCh=&amp;rDM=true&amp;cDM=true&amp;footnes=false&amp;empty=false&amp;wai=false&amp;time_mode=FIXED&amp;time_most_recent=false&amp;lang=EN&amp;cfo=%23%23%23%2C%23%23%23.%23%23%23" TargetMode="External"/><Relationship Id="rId36" Type="http://schemas.openxmlformats.org/officeDocument/2006/relationships/hyperlink" Target="https://www.markiteconomics.com/Public/Home/PressRelease/7da762801061481a87ca3f438a166d87" TargetMode="External"/><Relationship Id="rId49" Type="http://schemas.openxmlformats.org/officeDocument/2006/relationships/hyperlink" Target="https://appsso.eurostat.ec.europa.eu/nui/show.do?query=BOOKMARK_DS-055104_QID_77B9CCF1_UID_-3F171EB0&amp;layout=COICOP,L,X,0;GEO,L,X,1;TIME,C,Y,0;UNIT,L,Z,0;INDICATORS,C,Z,1;&amp;zSelection=DS-055104UNIT,RCH_A;DS-055104INDICATORS,OBS_FLAG;&amp;rankName1=UNIT_1_2_-1_2&amp;rankName2=INDICATORS_1_2_-1_2&amp;rankName3=COICOP_1_2_0_0&amp;rankName4=GEO_1_2_1_0&amp;rankName5=TIME_1_0_0_1&amp;sortR=ASC_-1_FIRST&amp;rStp=&amp;cStp=&amp;rDCh=&amp;cDCh=&amp;rDM=true&amp;cDM=true&amp;footnes=false&amp;empty=false&amp;wai=false&amp;time_mode=FIXED&amp;time_most_recent=false&amp;lang=EN&amp;cfo=%23%23%23%2C%23%23%23.%23%23%23" TargetMode="External"/><Relationship Id="rId57" Type="http://schemas.openxmlformats.org/officeDocument/2006/relationships/hyperlink" Target="https://www.statistics.gr/documents/20181/b17db220-2a75-5e89-efcb-4eb03ddf7cca" TargetMode="External"/><Relationship Id="rId10" Type="http://schemas.openxmlformats.org/officeDocument/2006/relationships/hyperlink" Target="http://www.pbo.gr" TargetMode="External"/><Relationship Id="rId31" Type="http://schemas.openxmlformats.org/officeDocument/2006/relationships/hyperlink" Target="http://www.statistics.gr/el/statistics/-/publication/SEL18/-" TargetMode="External"/><Relationship Id="rId44" Type="http://schemas.openxmlformats.org/officeDocument/2006/relationships/hyperlink" Target="https://www.bankofgreece.gr/statistika/nomismatikh-kai-trapezikh-statistiki/xrhmatodothsh-ths-ellhnikhs-oikonomias" TargetMode="External"/><Relationship Id="rId52" Type="http://schemas.openxmlformats.org/officeDocument/2006/relationships/hyperlink" Target="https://appsso.eurostat.ec.europa.eu/nui/show.do?query=BOOKMARK_DS-055968_QID_-58D9D286_UID_-3F171EB0&amp;layout=AGE,L,X,0;GEO,L,X,1;TIME,C,Y,0;SEX,L,Z,0;CITIZEN,L,Z,1;UNIT,L,Z,2;INDICATORS,C,Z,3;&amp;zSelection=DS-055968CITIZEN,TOTAL;DS-055968INDICATORS,OBS_FLAG;DS-055968SEX,T;DS-055968UNIT,PC;&amp;rankName1=UNIT_1_2_-1_2&amp;rankName2=CITIZEN_1_2_-1_2&amp;rankName3=INDICATORS_1_2_-1_2&amp;rankName4=SEX_1_2_-1_2&amp;rankName5=AGE_1_2_0_0&amp;rankName6=GEO_1_2_1_0&amp;rankName7=TIME_1_0_0_1&amp;sortR=ASC_-1_FIRST&amp;rStp=&amp;cStp=&amp;rDCh=&amp;cDCh=&amp;rDM=true&amp;cDM=true&amp;footnes=false&amp;empty=false&amp;wai=false&amp;time_mode=FIXED&amp;time_most_recent=false&amp;lang=EN&amp;cfo=%23%23%23%2C%23%23%23.%23%23%23" TargetMode="External"/><Relationship Id="rId60" Type="http://schemas.openxmlformats.org/officeDocument/2006/relationships/hyperlink" Target="https://appsso.eurostat.ec.europa.eu/nui/show.do?query=BOOKMARK_DS-055906_QID_600D05AF_UID_-3F171EB0&amp;layout=GEO,L,X,0;TIME,C,Y,0;SEX,L,Z,0;AGE,L,Z,1;UNIT,L,Z,2;INDICATORS,C,Z,3;&amp;zSelection=DS-055906INDICATORS,OBS_FLAG;DS-055906AGE,Y15-64;DS-055906SEX,T;DS-055906UNIT,PC;&amp;rankName1=UNIT_1_2_-1_2&amp;rankName2=AGE_1_2_-1_2&amp;rankName3=INDICATORS_1_2_-1_2&amp;rankName4=SEX_1_2_-1_2&amp;rankName5=GEO_1_2_0_0&amp;rankName6=TIME_1_0_0_1&amp;sortR=ASC_-1_FIRST&amp;rStp=&amp;cStp=&amp;rDCh=&amp;cDCh=&amp;rDM=true&amp;cDM=true&amp;footnes=false&amp;empty=false&amp;wai=false&amp;time_mode=FIXED&amp;time_most_recent=false&amp;lang=EN&amp;cfo=%23%23%23%2C%23%23%23.%23%23%23" TargetMode="External"/><Relationship Id="rId65" Type="http://schemas.openxmlformats.org/officeDocument/2006/relationships/hyperlink" Target="https://www.minfin.gr/web/guest/deltia-ekteleses-proupologismou/-/asset_publisher/CQoWAEaKCKga/content/ektelese-kratikou-proupologismou-dekembriou-20-2?inheritRedirect=false&amp;redirect=https%3A%2F%2Fwww.minfin.gr%2Fweb%2Fguest%2Fdeltia-ekteleses-proupologismou%3Fp_p_id%3D101_INSTANCE_CQoWAEaKCKga%26p_p_lifecycle%3D0%26p_p_state%3Dnormal%26p_p_mode%3Dview%26p_p_col_id%3Dcolumn-2%26p_p_col_count%3D1" TargetMode="External"/><Relationship Id="rId73" Type="http://schemas.openxmlformats.org/officeDocument/2006/relationships/image" Target="media/image14.png"/><Relationship Id="rId78" Type="http://schemas.openxmlformats.org/officeDocument/2006/relationships/hyperlink" Target="http://www.pdma.gr/el/debt-instruments-gr/announcements-gr/3537-%CE%B1%CF%80%CE%BF%CF%84%CE%B5%CE%BB%CE%B5%CF%83%CE%BC%CE%B1%CF%84%CE%B1-%CE%B4%CE%B7%CE%BC%CE%BF%CF%80%CF%81%CE%B1%CF%83%CE%B9%CE%B1%CF%83-%CE%B5%CE%BD%CF%84%CE%BF%CE%BA%CF%89%CE%BD-52-%CE%B5%CE%B2%CE%B4%CE%BF%CE%BC%CE%B1%CE%B4%CF%89%CE%BD-8" TargetMode="External"/><Relationship Id="rId81" Type="http://schemas.openxmlformats.org/officeDocument/2006/relationships/hyperlink" Target="http://www.pdma.gr/el/debt-instruments-gr/announcements-gr/3515-%CE%B5%CE%BD%CF%84%CE%BF%CE%BA%CE%B1-%CE%B3%CF%81%CE%B1%CE%BC%CE%BC%CE%B1%CF%84%CE%B9%CE%B1-%CE%B5%CE%BB%CE%BB%CE%B7%CE%BD%CE%B9%CE%BA%CE%BF%CF%85-%CE%B4%CE%B7%CE%BC%CE%BF%CF%83%CE%B9%CE%BF%CF%85-26-%CE%B5%CE%B2%CE%B4%CE%BF%CE%BC%CE%B1%CE%B4%CF%89%CE%BD-%CE%B1%CF%80%CE%BF%CF%84%CE%B5%CE%BB%CE%B5%CF%83%CE%BC%CE%B1%CF%84%CE%B1-%CF%83%CF%85%CE%BC%CF%80%CE%BB%CE%B7%CF%81%CF%89%CE%BC%CE%B1%CF%84%CE%B9%CE%BA%CF%89%CE%BD-%CE%BC%CE%B7-%CE%B1%CE%BD%CF%84%CE%B1%CE%B3%CF%89%CE%BD%CE%B9%CF%83%CF%84%CE%B9%CE%BA%CF%89%CE%BD-%CF%80%CF%81%CE%BF%CF%83%CF%86%CE%BF%CF%81%CF%89%CE%BD-23" TargetMode="External"/><Relationship Id="rId86" Type="http://schemas.openxmlformats.org/officeDocument/2006/relationships/hyperlink" Target="http://www.keyd.gov.gr/lyseis-ergaleia/" TargetMode="External"/><Relationship Id="rId94" Type="http://schemas.openxmlformats.org/officeDocument/2006/relationships/hyperlink" Target="https://www.hradf.com/storage/files/uploads/oloklh-rwshparaxw-rhshs31122021586.pdf" TargetMode="Externa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statistics-explained/index.php?title=Glossary:COFOG" TargetMode="External"/><Relationship Id="rId1" Type="http://schemas.openxmlformats.org/officeDocument/2006/relationships/hyperlink" Target="https://www.aade.gr/open-data/KPI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Γραφείο Προϋπολογισμού του Κράτους στη Βουλή</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42D80B-D9A1-4025-9075-0810A91A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50</Pages>
  <Words>16770</Words>
  <Characters>90558</Characters>
  <Application>Microsoft Office Word</Application>
  <DocSecurity>0</DocSecurity>
  <Lines>754</Lines>
  <Paragraphs>214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Έκθεση Δ τριμήνου 2020</vt:lpstr>
      <vt:lpstr>Έκθεση Δ τριμήνου 2020</vt:lpstr>
    </vt:vector>
  </TitlesOfParts>
  <Company>Γραφείο Προϋπολογισμού του Κράτους στη Βουλή</Company>
  <LinksUpToDate>false</LinksUpToDate>
  <CharactersWithSpaces>107114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Έκθεση Δ τριμήνου 2020</dc:title>
  <dc:creator>franciscos</dc:creator>
  <cp:lastModifiedBy>Κωτσαρίδου Χριστίνα</cp:lastModifiedBy>
  <cp:revision>8</cp:revision>
  <cp:lastPrinted>2021-03-23T12:32:00Z</cp:lastPrinted>
  <dcterms:created xsi:type="dcterms:W3CDTF">2021-03-23T10:44:00Z</dcterms:created>
  <dcterms:modified xsi:type="dcterms:W3CDTF">2021-03-23T12:40:00Z</dcterms:modified>
</cp:coreProperties>
</file>